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E1AA" w14:textId="0C56EA9D" w:rsidR="00B55EC3" w:rsidRPr="00CD094F" w:rsidRDefault="00B55EC3" w:rsidP="00B55EC3">
      <w:pPr>
        <w:spacing w:after="0" w:line="240" w:lineRule="auto"/>
        <w:jc w:val="right"/>
        <w:rPr>
          <w:rFonts w:ascii="PermianSerifTypeface" w:hAnsi="PermianSerifTypeface"/>
          <w:bCs/>
          <w:lang w:val="ro-RO"/>
        </w:rPr>
      </w:pPr>
      <w:r>
        <w:rPr>
          <w:rFonts w:ascii="PermianSerifTypeface" w:hAnsi="PermianSerifTypeface"/>
          <w:bCs/>
          <w:lang w:val="ro-RO"/>
        </w:rPr>
        <w:t>REGISTERED</w:t>
      </w:r>
    </w:p>
    <w:p w14:paraId="693BEC2E" w14:textId="0C2E12DF" w:rsidR="00B55EC3" w:rsidRPr="00CD094F" w:rsidRDefault="002C30A3" w:rsidP="00B55EC3">
      <w:pPr>
        <w:spacing w:after="0" w:line="240" w:lineRule="auto"/>
        <w:jc w:val="right"/>
        <w:rPr>
          <w:rFonts w:ascii="PermianSerifTypeface" w:hAnsi="PermianSerifTypeface"/>
          <w:bCs/>
          <w:lang w:val="ro-RO"/>
        </w:rPr>
      </w:pPr>
      <w:r>
        <w:rPr>
          <w:rFonts w:ascii="PermianSerifTypeface" w:hAnsi="PermianSerifTypeface"/>
          <w:bCs/>
          <w:lang w:val="ro-RO"/>
        </w:rPr>
        <w:t xml:space="preserve">at </w:t>
      </w:r>
      <w:proofErr w:type="spellStart"/>
      <w:r w:rsidR="00B55EC3" w:rsidRPr="00CD094F">
        <w:rPr>
          <w:rFonts w:ascii="PermianSerifTypeface" w:hAnsi="PermianSerifTypeface"/>
          <w:bCs/>
          <w:lang w:val="ro-RO"/>
        </w:rPr>
        <w:t>Minist</w:t>
      </w:r>
      <w:r w:rsidR="00B55EC3">
        <w:rPr>
          <w:rFonts w:ascii="PermianSerifTypeface" w:hAnsi="PermianSerifTypeface"/>
          <w:bCs/>
          <w:lang w:val="ro-RO"/>
        </w:rPr>
        <w:t>ry</w:t>
      </w:r>
      <w:proofErr w:type="spellEnd"/>
      <w:r w:rsidR="00B55EC3" w:rsidRPr="00CD094F">
        <w:rPr>
          <w:rFonts w:ascii="PermianSerifTypeface" w:hAnsi="PermianSerifTypeface"/>
          <w:bCs/>
          <w:lang w:val="ro-RO"/>
        </w:rPr>
        <w:t xml:space="preserve"> </w:t>
      </w:r>
      <w:r w:rsidR="00B55EC3">
        <w:rPr>
          <w:rFonts w:ascii="PermianSerifTypeface" w:hAnsi="PermianSerifTypeface"/>
          <w:bCs/>
          <w:lang w:val="ro-RO"/>
        </w:rPr>
        <w:t xml:space="preserve">of </w:t>
      </w:r>
      <w:proofErr w:type="spellStart"/>
      <w:r w:rsidR="00B55EC3" w:rsidRPr="00CD094F">
        <w:rPr>
          <w:rFonts w:ascii="PermianSerifTypeface" w:hAnsi="PermianSerifTypeface"/>
          <w:bCs/>
          <w:lang w:val="ro-RO"/>
        </w:rPr>
        <w:t>Justi</w:t>
      </w:r>
      <w:r w:rsidR="00B55EC3">
        <w:rPr>
          <w:rFonts w:ascii="PermianSerifTypeface" w:hAnsi="PermianSerifTypeface"/>
          <w:bCs/>
          <w:lang w:val="ro-RO"/>
        </w:rPr>
        <w:t>ce</w:t>
      </w:r>
      <w:proofErr w:type="spellEnd"/>
    </w:p>
    <w:p w14:paraId="3AE08E1B" w14:textId="5288CF13" w:rsidR="00B55EC3" w:rsidRPr="00CD094F" w:rsidRDefault="002C30A3" w:rsidP="00B55EC3">
      <w:pPr>
        <w:spacing w:after="0" w:line="240" w:lineRule="auto"/>
        <w:jc w:val="right"/>
        <w:rPr>
          <w:rFonts w:ascii="PermianSerifTypeface" w:hAnsi="PermianSerifTypeface"/>
          <w:bCs/>
          <w:lang w:val="ro-RO"/>
        </w:rPr>
      </w:pPr>
      <w:r>
        <w:rPr>
          <w:rFonts w:ascii="PermianSerifTypeface" w:hAnsi="PermianSerifTypeface"/>
          <w:bCs/>
          <w:lang w:val="ro-RO"/>
        </w:rPr>
        <w:t>o</w:t>
      </w:r>
      <w:r w:rsidR="00B55EC3">
        <w:rPr>
          <w:rFonts w:ascii="PermianSerifTypeface" w:hAnsi="PermianSerifTypeface"/>
          <w:bCs/>
          <w:lang w:val="ro-RO"/>
        </w:rPr>
        <w:t xml:space="preserve">f </w:t>
      </w:r>
      <w:proofErr w:type="spellStart"/>
      <w:r w:rsidR="00B55EC3">
        <w:rPr>
          <w:rFonts w:ascii="PermianSerifTypeface" w:hAnsi="PermianSerifTypeface"/>
          <w:bCs/>
          <w:lang w:val="ro-RO"/>
        </w:rPr>
        <w:t>the</w:t>
      </w:r>
      <w:proofErr w:type="spellEnd"/>
      <w:r w:rsidR="00B55EC3" w:rsidRPr="00CD094F">
        <w:rPr>
          <w:rFonts w:ascii="PermianSerifTypeface" w:hAnsi="PermianSerifTypeface"/>
          <w:bCs/>
          <w:lang w:val="ro-RO"/>
        </w:rPr>
        <w:t xml:space="preserve"> Republic</w:t>
      </w:r>
      <w:r w:rsidR="00B55EC3">
        <w:rPr>
          <w:rFonts w:ascii="PermianSerifTypeface" w:hAnsi="PermianSerifTypeface"/>
          <w:bCs/>
          <w:lang w:val="ro-RO"/>
        </w:rPr>
        <w:t xml:space="preserve"> of</w:t>
      </w:r>
      <w:r w:rsidR="00B55EC3" w:rsidRPr="00CD094F">
        <w:rPr>
          <w:rFonts w:ascii="PermianSerifTypeface" w:hAnsi="PermianSerifTypeface"/>
          <w:bCs/>
          <w:lang w:val="ro-RO"/>
        </w:rPr>
        <w:t xml:space="preserve"> Moldova</w:t>
      </w:r>
    </w:p>
    <w:p w14:paraId="53B88324" w14:textId="1A65F8B0" w:rsidR="00B55EC3" w:rsidRPr="00CD094F" w:rsidRDefault="002C30A3" w:rsidP="00B55EC3">
      <w:pPr>
        <w:spacing w:after="0" w:line="240" w:lineRule="auto"/>
        <w:jc w:val="right"/>
        <w:rPr>
          <w:rFonts w:ascii="PermianSerifTypeface" w:hAnsi="PermianSerifTypeface"/>
          <w:bCs/>
          <w:lang w:val="ro-RO"/>
        </w:rPr>
      </w:pPr>
      <w:r>
        <w:rPr>
          <w:rFonts w:ascii="PermianSerifTypeface" w:hAnsi="PermianSerifTypeface"/>
          <w:bCs/>
          <w:lang w:val="ro-RO"/>
        </w:rPr>
        <w:t>N</w:t>
      </w:r>
      <w:r w:rsidR="00B55EC3">
        <w:rPr>
          <w:rFonts w:ascii="PermianSerifTypeface" w:hAnsi="PermianSerifTypeface"/>
          <w:bCs/>
          <w:lang w:val="ro-RO"/>
        </w:rPr>
        <w:t>o</w:t>
      </w:r>
      <w:r w:rsidR="00B55EC3" w:rsidRPr="00CD094F">
        <w:rPr>
          <w:rFonts w:ascii="PermianSerifTypeface" w:hAnsi="PermianSerifTypeface"/>
          <w:bCs/>
          <w:lang w:val="ro-RO"/>
        </w:rPr>
        <w:t xml:space="preserve">. </w:t>
      </w:r>
      <w:r w:rsidR="00B55EC3" w:rsidRPr="00CD094F">
        <w:rPr>
          <w:rFonts w:ascii="PermianSerifTypeface" w:hAnsi="PermianSerifTypeface"/>
          <w:bCs/>
        </w:rPr>
        <w:t>1795</w:t>
      </w:r>
      <w:r w:rsidR="00B55EC3" w:rsidRPr="00CD094F">
        <w:rPr>
          <w:rFonts w:ascii="PermianSerifTypeface" w:hAnsi="PermianSerifTypeface"/>
          <w:bCs/>
          <w:lang w:val="ro-RO"/>
        </w:rPr>
        <w:t xml:space="preserve"> </w:t>
      </w:r>
      <w:r w:rsidR="00B55EC3">
        <w:rPr>
          <w:rFonts w:ascii="PermianSerifTypeface" w:hAnsi="PermianSerifTypeface"/>
          <w:bCs/>
          <w:lang w:val="ro-RO"/>
        </w:rPr>
        <w:t>of</w:t>
      </w:r>
      <w:r w:rsidR="00B55EC3" w:rsidRPr="00CD094F">
        <w:rPr>
          <w:rFonts w:ascii="PermianSerifTypeface" w:hAnsi="PermianSerifTypeface"/>
          <w:bCs/>
          <w:lang w:val="ro-RO"/>
        </w:rPr>
        <w:t xml:space="preserve"> </w:t>
      </w:r>
      <w:r w:rsidR="00B55EC3" w:rsidRPr="00CD094F">
        <w:rPr>
          <w:rFonts w:ascii="PermianSerifTypeface" w:hAnsi="PermianSerifTypeface"/>
          <w:bCs/>
        </w:rPr>
        <w:t>7</w:t>
      </w:r>
      <w:r w:rsidR="00B55EC3" w:rsidRPr="00CD094F">
        <w:rPr>
          <w:rFonts w:ascii="PermianSerifTypeface" w:hAnsi="PermianSerifTypeface"/>
          <w:bCs/>
          <w:lang w:val="ro-RO"/>
        </w:rPr>
        <w:t xml:space="preserve"> </w:t>
      </w:r>
      <w:r>
        <w:rPr>
          <w:rFonts w:ascii="PermianSerifTypeface" w:hAnsi="PermianSerifTypeface"/>
          <w:bCs/>
          <w:lang w:val="ro-RO"/>
        </w:rPr>
        <w:t>June</w:t>
      </w:r>
      <w:r w:rsidR="00B55EC3" w:rsidRPr="00CD094F">
        <w:rPr>
          <w:rFonts w:ascii="PermianSerifTypeface" w:hAnsi="PermianSerifTypeface"/>
          <w:bCs/>
          <w:lang w:val="ro-RO"/>
        </w:rPr>
        <w:t xml:space="preserve"> 2023</w:t>
      </w:r>
    </w:p>
    <w:p w14:paraId="3EB75F95" w14:textId="60566F73" w:rsidR="00CC3DBD" w:rsidRPr="00AC57FB" w:rsidRDefault="00CC3DBD" w:rsidP="00CC3DBD">
      <w:pPr>
        <w:tabs>
          <w:tab w:val="left" w:pos="1134"/>
        </w:tabs>
        <w:jc w:val="right"/>
        <w:rPr>
          <w:rFonts w:ascii="PermianSerifTypeface" w:hAnsi="PermianSerifTypeface" w:cs="Times New Roman"/>
          <w:b/>
          <w:bCs/>
          <w:color w:val="000000" w:themeColor="text1"/>
          <w:lang w:val="en-GB"/>
        </w:rPr>
      </w:pPr>
    </w:p>
    <w:p w14:paraId="23B4CAC9" w14:textId="77777777" w:rsidR="00B55EC3" w:rsidRDefault="00B55EC3" w:rsidP="00AC57FB">
      <w:pPr>
        <w:pStyle w:val="BodyText2"/>
        <w:ind w:right="-1"/>
        <w:rPr>
          <w:rFonts w:ascii="PermianSerifTypeface" w:eastAsiaTheme="minorHAnsi" w:hAnsi="PermianSerifTypeface"/>
          <w:b/>
          <w:color w:val="000000" w:themeColor="text1"/>
          <w:sz w:val="22"/>
          <w:szCs w:val="22"/>
          <w:lang w:val="en-GB"/>
        </w:rPr>
      </w:pPr>
    </w:p>
    <w:p w14:paraId="7E14CE58" w14:textId="77777777" w:rsidR="002C30A3" w:rsidRDefault="002C30A3" w:rsidP="00AC57FB">
      <w:pPr>
        <w:pStyle w:val="BodyText2"/>
        <w:ind w:right="-1"/>
        <w:rPr>
          <w:rFonts w:ascii="PermianSerifTypeface" w:eastAsiaTheme="minorHAnsi" w:hAnsi="PermianSerifTypeface"/>
          <w:b/>
          <w:color w:val="000000" w:themeColor="text1"/>
          <w:sz w:val="26"/>
          <w:szCs w:val="26"/>
          <w:lang w:val="en-GB"/>
        </w:rPr>
      </w:pPr>
    </w:p>
    <w:p w14:paraId="3E3FA7AE" w14:textId="5F814A86" w:rsidR="00AC57FB" w:rsidRPr="002C30A3" w:rsidRDefault="00AC57FB" w:rsidP="00AC57FB">
      <w:pPr>
        <w:pStyle w:val="BodyText2"/>
        <w:ind w:right="-1"/>
        <w:rPr>
          <w:rFonts w:ascii="PermianSerifTypeface" w:eastAsiaTheme="minorHAnsi" w:hAnsi="PermianSerifTypeface"/>
          <w:b/>
          <w:color w:val="000000" w:themeColor="text1"/>
          <w:sz w:val="26"/>
          <w:szCs w:val="26"/>
          <w:lang w:val="en-GB"/>
        </w:rPr>
      </w:pPr>
      <w:r w:rsidRPr="002C30A3">
        <w:rPr>
          <w:rFonts w:ascii="PermianSerifTypeface" w:eastAsiaTheme="minorHAnsi" w:hAnsi="PermianSerifTypeface"/>
          <w:b/>
          <w:color w:val="000000" w:themeColor="text1"/>
          <w:sz w:val="26"/>
          <w:szCs w:val="26"/>
          <w:lang w:val="en-GB"/>
        </w:rPr>
        <w:t>EXECUTIVE COMMITTEE</w:t>
      </w:r>
    </w:p>
    <w:p w14:paraId="4906EB59" w14:textId="2B10974D" w:rsidR="00CC3DBD" w:rsidRPr="002C30A3" w:rsidRDefault="00AC57FB" w:rsidP="00AC57FB">
      <w:pPr>
        <w:pStyle w:val="BodyText2"/>
        <w:ind w:right="-1"/>
        <w:rPr>
          <w:rFonts w:ascii="PermianSerifTypeface" w:eastAsiaTheme="minorHAnsi" w:hAnsi="PermianSerifTypeface"/>
          <w:b/>
          <w:color w:val="000000" w:themeColor="text1"/>
          <w:sz w:val="26"/>
          <w:szCs w:val="26"/>
          <w:lang w:val="en-GB"/>
        </w:rPr>
      </w:pPr>
      <w:r w:rsidRPr="002C30A3">
        <w:rPr>
          <w:rFonts w:ascii="PermianSerifTypeface" w:eastAsiaTheme="minorHAnsi" w:hAnsi="PermianSerifTypeface"/>
          <w:b/>
          <w:color w:val="000000" w:themeColor="text1"/>
          <w:sz w:val="26"/>
          <w:szCs w:val="26"/>
          <w:lang w:val="en-GB"/>
        </w:rPr>
        <w:t>OF THE NATIONAL BANK OF MOLDOVA</w:t>
      </w:r>
    </w:p>
    <w:p w14:paraId="4A10652D" w14:textId="77777777" w:rsidR="00AC57FB" w:rsidRPr="002C30A3" w:rsidRDefault="00AC57FB" w:rsidP="00AC57FB">
      <w:pPr>
        <w:pStyle w:val="BodyText2"/>
        <w:ind w:right="-1"/>
        <w:rPr>
          <w:rFonts w:ascii="PermianSerifTypeface" w:hAnsi="PermianSerifTypeface"/>
          <w:color w:val="000000" w:themeColor="text1"/>
          <w:sz w:val="26"/>
          <w:szCs w:val="26"/>
          <w:lang w:val="en-GB"/>
        </w:rPr>
      </w:pPr>
    </w:p>
    <w:p w14:paraId="297F8728" w14:textId="748C09DB" w:rsidR="00CC3DBD" w:rsidRPr="002C30A3" w:rsidRDefault="00AC57FB" w:rsidP="00CC3DBD">
      <w:pPr>
        <w:pStyle w:val="10"/>
        <w:keepNext/>
        <w:keepLines/>
        <w:shd w:val="clear" w:color="auto" w:fill="auto"/>
        <w:spacing w:before="0" w:line="240" w:lineRule="auto"/>
        <w:ind w:right="-1"/>
        <w:jc w:val="center"/>
        <w:rPr>
          <w:rFonts w:ascii="PermianSerifTypeface" w:hAnsi="PermianSerifTypeface"/>
          <w:b/>
          <w:color w:val="000000" w:themeColor="text1"/>
          <w:lang w:val="en-GB"/>
        </w:rPr>
      </w:pPr>
      <w:r w:rsidRPr="002C30A3">
        <w:rPr>
          <w:rFonts w:ascii="PermianSerifTypeface" w:hAnsi="PermianSerifTypeface"/>
          <w:b/>
          <w:color w:val="000000" w:themeColor="text1"/>
          <w:lang w:val="en-GB"/>
        </w:rPr>
        <w:t>DECISION</w:t>
      </w:r>
    </w:p>
    <w:p w14:paraId="1C70CA7F" w14:textId="05A8AC10" w:rsidR="00CC3DBD" w:rsidRPr="002C30A3" w:rsidRDefault="00B10776" w:rsidP="00CC3DBD">
      <w:pPr>
        <w:pStyle w:val="10"/>
        <w:keepNext/>
        <w:keepLines/>
        <w:shd w:val="clear" w:color="auto" w:fill="auto"/>
        <w:spacing w:before="0" w:line="240" w:lineRule="auto"/>
        <w:ind w:right="-1"/>
        <w:jc w:val="center"/>
        <w:rPr>
          <w:rFonts w:ascii="PermianSerifTypeface" w:hAnsi="PermianSerifTypeface"/>
          <w:b/>
          <w:color w:val="000000" w:themeColor="text1"/>
          <w:lang w:val="en-GB"/>
        </w:rPr>
      </w:pPr>
      <w:r w:rsidRPr="002C30A3">
        <w:rPr>
          <w:rFonts w:ascii="PermianSerifTypeface" w:hAnsi="PermianSerifTypeface"/>
          <w:b/>
          <w:color w:val="000000" w:themeColor="text1"/>
          <w:lang w:val="en-GB"/>
        </w:rPr>
        <w:t>No</w:t>
      </w:r>
      <w:r w:rsidR="006C2569" w:rsidRPr="002C30A3">
        <w:rPr>
          <w:rFonts w:ascii="PermianSerifTypeface" w:hAnsi="PermianSerifTypeface"/>
          <w:b/>
          <w:color w:val="000000" w:themeColor="text1"/>
          <w:lang w:val="en-GB"/>
        </w:rPr>
        <w:t>.</w:t>
      </w:r>
      <w:r w:rsidR="00CC3DBD" w:rsidRPr="002C30A3">
        <w:rPr>
          <w:rFonts w:ascii="PermianSerifTypeface" w:hAnsi="PermianSerifTypeface"/>
          <w:b/>
          <w:color w:val="000000" w:themeColor="text1"/>
          <w:lang w:val="en-GB"/>
        </w:rPr>
        <w:t xml:space="preserve"> </w:t>
      </w:r>
      <w:r w:rsidR="00B55EC3" w:rsidRPr="002C30A3">
        <w:rPr>
          <w:rFonts w:ascii="PermianSerifTypeface" w:hAnsi="PermianSerifTypeface"/>
          <w:b/>
          <w:color w:val="000000" w:themeColor="text1"/>
          <w:lang w:val="en-GB"/>
        </w:rPr>
        <w:t>180</w:t>
      </w:r>
      <w:r w:rsidR="00CC3DBD" w:rsidRPr="002C30A3">
        <w:rPr>
          <w:rFonts w:ascii="PermianSerifTypeface" w:hAnsi="PermianSerifTypeface"/>
          <w:b/>
          <w:color w:val="000000" w:themeColor="text1"/>
          <w:lang w:val="en-GB"/>
        </w:rPr>
        <w:t xml:space="preserve"> </w:t>
      </w:r>
      <w:r w:rsidRPr="002C30A3">
        <w:rPr>
          <w:rFonts w:ascii="PermianSerifTypeface" w:hAnsi="PermianSerifTypeface"/>
          <w:b/>
          <w:color w:val="000000" w:themeColor="text1"/>
          <w:lang w:val="en-GB"/>
        </w:rPr>
        <w:t>of</w:t>
      </w:r>
      <w:r w:rsidR="00CC3DBD" w:rsidRPr="002C30A3">
        <w:rPr>
          <w:rFonts w:ascii="PermianSerifTypeface" w:hAnsi="PermianSerifTypeface"/>
          <w:b/>
          <w:color w:val="000000" w:themeColor="text1"/>
          <w:lang w:val="en-GB"/>
        </w:rPr>
        <w:t xml:space="preserve"> </w:t>
      </w:r>
      <w:r w:rsidR="00B55EC3" w:rsidRPr="002C30A3">
        <w:rPr>
          <w:rFonts w:ascii="PermianSerifTypeface" w:hAnsi="PermianSerifTypeface"/>
          <w:b/>
          <w:color w:val="000000" w:themeColor="text1"/>
          <w:lang w:val="en-GB"/>
        </w:rPr>
        <w:t>27 June</w:t>
      </w:r>
      <w:r w:rsidR="00CC3DBD" w:rsidRPr="002C30A3">
        <w:rPr>
          <w:rFonts w:ascii="PermianSerifTypeface" w:hAnsi="PermianSerifTypeface"/>
          <w:b/>
          <w:color w:val="000000" w:themeColor="text1"/>
          <w:lang w:val="en-GB"/>
        </w:rPr>
        <w:t xml:space="preserve"> 20</w:t>
      </w:r>
      <w:r w:rsidR="00B55EC3" w:rsidRPr="002C30A3">
        <w:rPr>
          <w:rFonts w:ascii="PermianSerifTypeface" w:hAnsi="PermianSerifTypeface"/>
          <w:b/>
          <w:color w:val="000000" w:themeColor="text1"/>
          <w:lang w:val="en-GB"/>
        </w:rPr>
        <w:t>19</w:t>
      </w:r>
    </w:p>
    <w:p w14:paraId="6A9C6CF5" w14:textId="77777777" w:rsidR="006C2569" w:rsidRPr="002C30A3" w:rsidRDefault="006C2569" w:rsidP="00CC3DBD">
      <w:pPr>
        <w:pStyle w:val="10"/>
        <w:keepNext/>
        <w:keepLines/>
        <w:shd w:val="clear" w:color="auto" w:fill="auto"/>
        <w:spacing w:before="0" w:line="240" w:lineRule="auto"/>
        <w:ind w:right="-1"/>
        <w:jc w:val="center"/>
        <w:rPr>
          <w:rFonts w:ascii="PermianSerifTypeface" w:hAnsi="PermianSerifTypeface"/>
          <w:b/>
          <w:color w:val="000000" w:themeColor="text1"/>
          <w:lang w:val="en-GB"/>
        </w:rPr>
      </w:pPr>
    </w:p>
    <w:p w14:paraId="63AAF16E" w14:textId="699DED10" w:rsidR="00B55EC3" w:rsidRPr="002C30A3" w:rsidRDefault="00B55EC3" w:rsidP="00CC3DBD">
      <w:pPr>
        <w:pStyle w:val="10"/>
        <w:keepNext/>
        <w:keepLines/>
        <w:shd w:val="clear" w:color="auto" w:fill="auto"/>
        <w:spacing w:before="0" w:line="240" w:lineRule="auto"/>
        <w:ind w:right="-1"/>
        <w:jc w:val="center"/>
        <w:rPr>
          <w:rFonts w:ascii="PermianSerifTypeface" w:hAnsi="PermianSerifTypeface"/>
          <w:b/>
          <w:color w:val="000000" w:themeColor="text1"/>
          <w:lang w:val="en-GB"/>
        </w:rPr>
      </w:pPr>
      <w:r w:rsidRPr="002C30A3">
        <w:rPr>
          <w:rFonts w:ascii="PermianSerifTypeface" w:hAnsi="PermianSerifTypeface"/>
          <w:b/>
          <w:color w:val="000000" w:themeColor="text1"/>
          <w:lang w:val="en-GB"/>
        </w:rPr>
        <w:t>(</w:t>
      </w:r>
      <w:proofErr w:type="gramStart"/>
      <w:r w:rsidRPr="002C30A3">
        <w:rPr>
          <w:rFonts w:ascii="PermianSerifTypeface" w:hAnsi="PermianSerifTypeface"/>
          <w:b/>
          <w:color w:val="000000" w:themeColor="text1"/>
          <w:lang w:val="en-GB"/>
        </w:rPr>
        <w:t>effective</w:t>
      </w:r>
      <w:proofErr w:type="gramEnd"/>
      <w:r w:rsidR="006C2569" w:rsidRPr="002C30A3">
        <w:rPr>
          <w:rFonts w:ascii="PermianSerifTypeface" w:hAnsi="PermianSerifTypeface"/>
          <w:b/>
          <w:color w:val="000000" w:themeColor="text1"/>
          <w:lang w:val="en-GB"/>
        </w:rPr>
        <w:t xml:space="preserve"> of 12 August 2019)</w:t>
      </w:r>
    </w:p>
    <w:p w14:paraId="75C940EE" w14:textId="75C8C372" w:rsidR="00B55EC3" w:rsidRPr="002C30A3" w:rsidRDefault="006C2569" w:rsidP="00CC3DBD">
      <w:pPr>
        <w:pStyle w:val="10"/>
        <w:keepNext/>
        <w:keepLines/>
        <w:shd w:val="clear" w:color="auto" w:fill="auto"/>
        <w:spacing w:before="0" w:line="240" w:lineRule="auto"/>
        <w:ind w:right="-1"/>
        <w:jc w:val="center"/>
        <w:rPr>
          <w:rFonts w:ascii="PermianSerifTypeface" w:hAnsi="PermianSerifTypeface"/>
          <w:b/>
          <w:color w:val="000000" w:themeColor="text1"/>
          <w:lang w:val="ro-MD"/>
        </w:rPr>
      </w:pPr>
      <w:r w:rsidRPr="002C30A3">
        <w:rPr>
          <w:rFonts w:ascii="PermianSerifTypeface" w:hAnsi="PermianSerifTypeface"/>
          <w:b/>
          <w:color w:val="000000" w:themeColor="text1"/>
          <w:lang w:val="ro-MD"/>
        </w:rPr>
        <w:t xml:space="preserve">Official </w:t>
      </w:r>
      <w:r w:rsidR="002C30A3" w:rsidRPr="002C30A3">
        <w:rPr>
          <w:rFonts w:ascii="PermianSerifTypeface" w:hAnsi="PermianSerifTypeface"/>
          <w:b/>
          <w:color w:val="000000" w:themeColor="text1"/>
          <w:lang w:val="ro-MD"/>
        </w:rPr>
        <w:t>Monitor</w:t>
      </w:r>
      <w:r w:rsidRPr="002C30A3">
        <w:rPr>
          <w:rFonts w:ascii="PermianSerifTypeface" w:hAnsi="PermianSerifTypeface"/>
          <w:b/>
          <w:color w:val="000000" w:themeColor="text1"/>
          <w:lang w:val="ro-MD"/>
        </w:rPr>
        <w:t xml:space="preserve"> of </w:t>
      </w:r>
      <w:proofErr w:type="spellStart"/>
      <w:r w:rsidRPr="002C30A3">
        <w:rPr>
          <w:rFonts w:ascii="PermianSerifTypeface" w:hAnsi="PermianSerifTypeface"/>
          <w:b/>
          <w:color w:val="000000" w:themeColor="text1"/>
          <w:lang w:val="ro-MD"/>
        </w:rPr>
        <w:t>the</w:t>
      </w:r>
      <w:proofErr w:type="spellEnd"/>
      <w:r w:rsidRPr="002C30A3">
        <w:rPr>
          <w:rFonts w:ascii="PermianSerifTypeface" w:hAnsi="PermianSerifTypeface"/>
          <w:b/>
          <w:color w:val="000000" w:themeColor="text1"/>
          <w:lang w:val="ro-MD"/>
        </w:rPr>
        <w:t xml:space="preserve"> Republic of Moldova </w:t>
      </w:r>
      <w:r w:rsidR="002C30A3" w:rsidRPr="002C30A3">
        <w:rPr>
          <w:rFonts w:ascii="PermianSerifTypeface" w:hAnsi="PermianSerifTypeface"/>
          <w:b/>
          <w:color w:val="000000" w:themeColor="text1"/>
          <w:lang w:val="ro-MD"/>
        </w:rPr>
        <w:t>N</w:t>
      </w:r>
      <w:r w:rsidRPr="002C30A3">
        <w:rPr>
          <w:rFonts w:ascii="PermianSerifTypeface" w:hAnsi="PermianSerifTypeface"/>
          <w:b/>
          <w:color w:val="000000" w:themeColor="text1"/>
          <w:lang w:val="ro-MD"/>
        </w:rPr>
        <w:t>o. 223-229 art. 1271 of 12.07.2019</w:t>
      </w:r>
    </w:p>
    <w:p w14:paraId="00DDF557" w14:textId="77777777" w:rsidR="00B55EC3" w:rsidRPr="00AC57FB" w:rsidRDefault="00B55EC3" w:rsidP="00CC3DBD">
      <w:pPr>
        <w:pStyle w:val="10"/>
        <w:keepNext/>
        <w:keepLines/>
        <w:shd w:val="clear" w:color="auto" w:fill="auto"/>
        <w:spacing w:before="0" w:line="240" w:lineRule="auto"/>
        <w:ind w:right="-1"/>
        <w:jc w:val="center"/>
        <w:rPr>
          <w:rFonts w:ascii="PermianSerifTypeface" w:hAnsi="PermianSerifTypeface"/>
          <w:b/>
          <w:color w:val="000000" w:themeColor="text1"/>
          <w:sz w:val="22"/>
          <w:szCs w:val="22"/>
          <w:lang w:val="en-GB"/>
        </w:rPr>
      </w:pPr>
    </w:p>
    <w:p w14:paraId="7B7AF10B" w14:textId="59FBF610" w:rsidR="006C2569" w:rsidRDefault="006C2569" w:rsidP="006C2569">
      <w:pPr>
        <w:keepNext/>
        <w:spacing w:after="120" w:line="360" w:lineRule="auto"/>
        <w:outlineLvl w:val="2"/>
        <w:rPr>
          <w:rFonts w:ascii="PermianSerifTypeface" w:hAnsi="PermianSerifTypeface"/>
          <w:bCs/>
          <w:i/>
          <w:iCs/>
          <w:color w:val="A6A6A6" w:themeColor="background1" w:themeShade="A6"/>
          <w:sz w:val="18"/>
          <w:szCs w:val="18"/>
        </w:rPr>
      </w:pPr>
      <w:r>
        <w:rPr>
          <w:rFonts w:ascii="PermianSerifTypeface" w:hAnsi="PermianSerifTypeface"/>
          <w:bCs/>
          <w:i/>
          <w:iCs/>
          <w:color w:val="A6A6A6" w:themeColor="background1" w:themeShade="A6"/>
          <w:sz w:val="18"/>
          <w:szCs w:val="18"/>
        </w:rPr>
        <w:t>Amended</w:t>
      </w:r>
      <w:r w:rsidRPr="00553C7A">
        <w:rPr>
          <w:rFonts w:ascii="PermianSerifTypeface" w:hAnsi="PermianSerifTypeface"/>
          <w:bCs/>
          <w:i/>
          <w:iCs/>
          <w:color w:val="A6A6A6" w:themeColor="background1" w:themeShade="A6"/>
          <w:sz w:val="18"/>
          <w:szCs w:val="18"/>
        </w:rPr>
        <w:t xml:space="preserve"> </w:t>
      </w:r>
      <w:r>
        <w:rPr>
          <w:rFonts w:ascii="PermianSerifTypeface" w:hAnsi="PermianSerifTypeface"/>
          <w:bCs/>
          <w:i/>
          <w:iCs/>
          <w:color w:val="A6A6A6" w:themeColor="background1" w:themeShade="A6"/>
          <w:sz w:val="18"/>
          <w:szCs w:val="18"/>
        </w:rPr>
        <w:t>by</w:t>
      </w:r>
      <w:r w:rsidRPr="00553C7A">
        <w:rPr>
          <w:rFonts w:ascii="PermianSerifTypeface" w:hAnsi="PermianSerifTypeface"/>
          <w:bCs/>
          <w:i/>
          <w:iCs/>
          <w:color w:val="A6A6A6" w:themeColor="background1" w:themeShade="A6"/>
          <w:sz w:val="18"/>
          <w:szCs w:val="18"/>
        </w:rPr>
        <w:t>:</w:t>
      </w:r>
    </w:p>
    <w:p w14:paraId="367E26E9" w14:textId="72B91C6F" w:rsidR="006C2569" w:rsidRPr="00F2646C" w:rsidRDefault="006C2569" w:rsidP="006C2569">
      <w:pPr>
        <w:keepNext/>
        <w:spacing w:after="120" w:line="360" w:lineRule="auto"/>
        <w:outlineLvl w:val="2"/>
        <w:rPr>
          <w:rFonts w:ascii="PermianSerifTypeface" w:hAnsi="PermianSerifTypeface"/>
          <w:bCs/>
          <w:i/>
          <w:iCs/>
          <w:color w:val="A6A6A6" w:themeColor="background1" w:themeShade="A6"/>
          <w:sz w:val="18"/>
          <w:szCs w:val="18"/>
          <w:lang w:val="ro-RO"/>
        </w:rPr>
      </w:pPr>
      <w:r>
        <w:rPr>
          <w:rFonts w:ascii="PermianSerifTypeface" w:hAnsi="PermianSerifTypeface"/>
          <w:bCs/>
          <w:i/>
          <w:iCs/>
          <w:color w:val="A6A6A6" w:themeColor="background1" w:themeShade="A6"/>
          <w:sz w:val="18"/>
          <w:szCs w:val="18"/>
        </w:rPr>
        <w:t>D</w:t>
      </w:r>
      <w:r w:rsidRPr="00F2646C">
        <w:rPr>
          <w:rFonts w:ascii="PermianSerifTypeface" w:hAnsi="PermianSerifTypeface"/>
          <w:bCs/>
          <w:i/>
          <w:iCs/>
          <w:color w:val="A6A6A6" w:themeColor="background1" w:themeShade="A6"/>
          <w:sz w:val="18"/>
          <w:szCs w:val="18"/>
        </w:rPr>
        <w:t>E</w:t>
      </w:r>
      <w:r w:rsidR="002C30A3">
        <w:rPr>
          <w:rFonts w:ascii="PermianSerifTypeface" w:hAnsi="PermianSerifTypeface"/>
          <w:bCs/>
          <w:i/>
          <w:iCs/>
          <w:color w:val="A6A6A6" w:themeColor="background1" w:themeShade="A6"/>
          <w:sz w:val="18"/>
          <w:szCs w:val="18"/>
        </w:rPr>
        <w:t>B</w:t>
      </w:r>
      <w:r w:rsidRPr="00F2646C">
        <w:rPr>
          <w:rFonts w:ascii="PermianSerifTypeface" w:hAnsi="PermianSerifTypeface"/>
          <w:bCs/>
          <w:i/>
          <w:iCs/>
          <w:color w:val="A6A6A6" w:themeColor="background1" w:themeShade="A6"/>
          <w:sz w:val="18"/>
          <w:szCs w:val="18"/>
        </w:rPr>
        <w:t xml:space="preserve"> </w:t>
      </w:r>
      <w:r>
        <w:rPr>
          <w:rFonts w:ascii="PermianSerifTypeface" w:hAnsi="PermianSerifTypeface"/>
          <w:bCs/>
          <w:i/>
          <w:iCs/>
          <w:color w:val="A6A6A6" w:themeColor="background1" w:themeShade="A6"/>
          <w:sz w:val="18"/>
          <w:szCs w:val="18"/>
        </w:rPr>
        <w:t>of</w:t>
      </w:r>
      <w:r w:rsidRPr="00F2646C">
        <w:rPr>
          <w:rFonts w:ascii="PermianSerifTypeface" w:hAnsi="PermianSerifTypeface"/>
          <w:bCs/>
          <w:i/>
          <w:iCs/>
          <w:color w:val="A6A6A6" w:themeColor="background1" w:themeShade="A6"/>
          <w:sz w:val="18"/>
          <w:szCs w:val="18"/>
        </w:rPr>
        <w:t xml:space="preserve"> N</w:t>
      </w:r>
      <w:r>
        <w:rPr>
          <w:rFonts w:ascii="PermianSerifTypeface" w:hAnsi="PermianSerifTypeface"/>
          <w:bCs/>
          <w:i/>
          <w:iCs/>
          <w:color w:val="A6A6A6" w:themeColor="background1" w:themeShade="A6"/>
          <w:sz w:val="18"/>
          <w:szCs w:val="18"/>
        </w:rPr>
        <w:t>B</w:t>
      </w:r>
      <w:r w:rsidRPr="00F2646C">
        <w:rPr>
          <w:rFonts w:ascii="PermianSerifTypeface" w:hAnsi="PermianSerifTypeface"/>
          <w:bCs/>
          <w:i/>
          <w:iCs/>
          <w:color w:val="A6A6A6" w:themeColor="background1" w:themeShade="A6"/>
          <w:sz w:val="18"/>
          <w:szCs w:val="18"/>
        </w:rPr>
        <w:t>M n</w:t>
      </w:r>
      <w:r>
        <w:rPr>
          <w:rFonts w:ascii="PermianSerifTypeface" w:hAnsi="PermianSerifTypeface"/>
          <w:bCs/>
          <w:i/>
          <w:iCs/>
          <w:color w:val="A6A6A6" w:themeColor="background1" w:themeShade="A6"/>
          <w:sz w:val="18"/>
          <w:szCs w:val="18"/>
        </w:rPr>
        <w:t>o</w:t>
      </w:r>
      <w:r w:rsidRPr="00F2646C">
        <w:rPr>
          <w:rFonts w:ascii="PermianSerifTypeface" w:hAnsi="PermianSerifTypeface"/>
          <w:bCs/>
          <w:i/>
          <w:iCs/>
          <w:color w:val="A6A6A6" w:themeColor="background1" w:themeShade="A6"/>
          <w:sz w:val="18"/>
          <w:szCs w:val="18"/>
        </w:rPr>
        <w:t xml:space="preserve">. </w:t>
      </w:r>
      <w:r>
        <w:rPr>
          <w:rFonts w:ascii="PermianSerifTypeface" w:hAnsi="PermianSerifTypeface"/>
          <w:bCs/>
          <w:i/>
          <w:iCs/>
          <w:color w:val="A6A6A6" w:themeColor="background1" w:themeShade="A6"/>
          <w:sz w:val="18"/>
          <w:szCs w:val="18"/>
        </w:rPr>
        <w:t>100</w:t>
      </w:r>
      <w:r w:rsidRPr="00F2646C">
        <w:rPr>
          <w:rFonts w:ascii="PermianSerifTypeface" w:hAnsi="PermianSerifTypeface"/>
          <w:bCs/>
          <w:i/>
          <w:iCs/>
          <w:color w:val="A6A6A6" w:themeColor="background1" w:themeShade="A6"/>
          <w:sz w:val="18"/>
          <w:szCs w:val="18"/>
        </w:rPr>
        <w:t xml:space="preserve"> din </w:t>
      </w:r>
      <w:r>
        <w:rPr>
          <w:rFonts w:ascii="PermianSerifTypeface" w:hAnsi="PermianSerifTypeface"/>
          <w:bCs/>
          <w:i/>
          <w:iCs/>
          <w:color w:val="A6A6A6" w:themeColor="background1" w:themeShade="A6"/>
          <w:sz w:val="18"/>
          <w:szCs w:val="18"/>
        </w:rPr>
        <w:t xml:space="preserve">22 </w:t>
      </w:r>
      <w:proofErr w:type="spellStart"/>
      <w:r>
        <w:rPr>
          <w:rFonts w:ascii="PermianSerifTypeface" w:hAnsi="PermianSerifTypeface"/>
          <w:bCs/>
          <w:i/>
          <w:iCs/>
          <w:color w:val="A6A6A6" w:themeColor="background1" w:themeShade="A6"/>
          <w:sz w:val="18"/>
          <w:szCs w:val="18"/>
        </w:rPr>
        <w:t>mai</w:t>
      </w:r>
      <w:proofErr w:type="spellEnd"/>
      <w:r w:rsidRPr="00F2646C">
        <w:rPr>
          <w:rFonts w:ascii="PermianSerifTypeface" w:hAnsi="PermianSerifTypeface"/>
          <w:bCs/>
          <w:i/>
          <w:iCs/>
          <w:color w:val="A6A6A6" w:themeColor="background1" w:themeShade="A6"/>
          <w:sz w:val="18"/>
          <w:szCs w:val="18"/>
        </w:rPr>
        <w:t xml:space="preserve"> 20</w:t>
      </w:r>
      <w:r>
        <w:rPr>
          <w:rFonts w:ascii="PermianSerifTypeface" w:hAnsi="PermianSerifTypeface"/>
          <w:bCs/>
          <w:i/>
          <w:iCs/>
          <w:color w:val="A6A6A6" w:themeColor="background1" w:themeShade="A6"/>
          <w:sz w:val="18"/>
          <w:szCs w:val="18"/>
        </w:rPr>
        <w:t>23</w:t>
      </w:r>
      <w:r w:rsidRPr="00F2646C">
        <w:rPr>
          <w:rFonts w:ascii="PermianSerifTypeface" w:hAnsi="PermianSerifTypeface"/>
          <w:bCs/>
          <w:i/>
          <w:iCs/>
          <w:color w:val="A6A6A6" w:themeColor="background1" w:themeShade="A6"/>
          <w:sz w:val="18"/>
          <w:szCs w:val="18"/>
        </w:rPr>
        <w:t>, O</w:t>
      </w:r>
      <w:r w:rsidR="002C30A3">
        <w:rPr>
          <w:rFonts w:ascii="PermianSerifTypeface" w:hAnsi="PermianSerifTypeface"/>
          <w:bCs/>
          <w:i/>
          <w:iCs/>
          <w:color w:val="A6A6A6" w:themeColor="background1" w:themeShade="A6"/>
          <w:sz w:val="18"/>
          <w:szCs w:val="18"/>
        </w:rPr>
        <w:t>M</w:t>
      </w:r>
      <w:r w:rsidRPr="00F2646C">
        <w:rPr>
          <w:rFonts w:ascii="PermianSerifTypeface" w:hAnsi="PermianSerifTypeface"/>
          <w:bCs/>
          <w:i/>
          <w:iCs/>
          <w:color w:val="A6A6A6" w:themeColor="background1" w:themeShade="A6"/>
          <w:sz w:val="18"/>
          <w:szCs w:val="18"/>
        </w:rPr>
        <w:t xml:space="preserve"> </w:t>
      </w:r>
      <w:r>
        <w:rPr>
          <w:rFonts w:ascii="PermianSerifTypeface" w:hAnsi="PermianSerifTypeface"/>
          <w:bCs/>
          <w:i/>
          <w:iCs/>
          <w:color w:val="A6A6A6" w:themeColor="background1" w:themeShade="A6"/>
          <w:sz w:val="18"/>
          <w:szCs w:val="18"/>
        </w:rPr>
        <w:t>of the</w:t>
      </w:r>
      <w:r w:rsidRPr="00F2646C">
        <w:rPr>
          <w:rFonts w:ascii="PermianSerifTypeface" w:hAnsi="PermianSerifTypeface"/>
          <w:bCs/>
          <w:i/>
          <w:iCs/>
          <w:color w:val="A6A6A6" w:themeColor="background1" w:themeShade="A6"/>
          <w:sz w:val="18"/>
          <w:szCs w:val="18"/>
        </w:rPr>
        <w:t xml:space="preserve"> RM nr.</w:t>
      </w:r>
      <w:r>
        <w:rPr>
          <w:rFonts w:ascii="PermianSerifTypeface" w:hAnsi="PermianSerifTypeface"/>
          <w:bCs/>
          <w:i/>
          <w:iCs/>
          <w:color w:val="A6A6A6" w:themeColor="background1" w:themeShade="A6"/>
          <w:sz w:val="18"/>
          <w:szCs w:val="18"/>
        </w:rPr>
        <w:t>195</w:t>
      </w:r>
      <w:r w:rsidRPr="00F2646C">
        <w:rPr>
          <w:rFonts w:ascii="PermianSerifTypeface" w:hAnsi="PermianSerifTypeface"/>
          <w:bCs/>
          <w:i/>
          <w:iCs/>
          <w:color w:val="A6A6A6" w:themeColor="background1" w:themeShade="A6"/>
          <w:sz w:val="18"/>
          <w:szCs w:val="18"/>
        </w:rPr>
        <w:t>-</w:t>
      </w:r>
      <w:r>
        <w:rPr>
          <w:rFonts w:ascii="PermianSerifTypeface" w:hAnsi="PermianSerifTypeface"/>
          <w:bCs/>
          <w:i/>
          <w:iCs/>
          <w:color w:val="A6A6A6" w:themeColor="background1" w:themeShade="A6"/>
          <w:sz w:val="18"/>
          <w:szCs w:val="18"/>
        </w:rPr>
        <w:t>196</w:t>
      </w:r>
      <w:r w:rsidRPr="00F2646C">
        <w:rPr>
          <w:rFonts w:ascii="PermianSerifTypeface" w:hAnsi="PermianSerifTypeface"/>
          <w:bCs/>
          <w:i/>
          <w:iCs/>
          <w:color w:val="A6A6A6" w:themeColor="background1" w:themeShade="A6"/>
          <w:sz w:val="18"/>
          <w:szCs w:val="18"/>
        </w:rPr>
        <w:t>/</w:t>
      </w:r>
      <w:r>
        <w:rPr>
          <w:rFonts w:ascii="PermianSerifTypeface" w:hAnsi="PermianSerifTypeface"/>
          <w:bCs/>
          <w:i/>
          <w:iCs/>
          <w:color w:val="A6A6A6" w:themeColor="background1" w:themeShade="A6"/>
          <w:sz w:val="18"/>
          <w:szCs w:val="18"/>
        </w:rPr>
        <w:t>563</w:t>
      </w:r>
      <w:r w:rsidRPr="00F2646C">
        <w:rPr>
          <w:rFonts w:ascii="PermianSerifTypeface" w:hAnsi="PermianSerifTypeface"/>
          <w:bCs/>
          <w:i/>
          <w:iCs/>
          <w:color w:val="A6A6A6" w:themeColor="background1" w:themeShade="A6"/>
          <w:sz w:val="18"/>
          <w:szCs w:val="18"/>
        </w:rPr>
        <w:t xml:space="preserve"> </w:t>
      </w:r>
      <w:r>
        <w:rPr>
          <w:rFonts w:ascii="PermianSerifTypeface" w:hAnsi="PermianSerifTypeface"/>
          <w:bCs/>
          <w:i/>
          <w:iCs/>
          <w:color w:val="A6A6A6" w:themeColor="background1" w:themeShade="A6"/>
          <w:sz w:val="18"/>
          <w:szCs w:val="18"/>
        </w:rPr>
        <w:t>of</w:t>
      </w:r>
      <w:r w:rsidRPr="00F2646C">
        <w:rPr>
          <w:rFonts w:ascii="PermianSerifTypeface" w:hAnsi="PermianSerifTypeface"/>
          <w:bCs/>
          <w:i/>
          <w:iCs/>
          <w:color w:val="A6A6A6" w:themeColor="background1" w:themeShade="A6"/>
          <w:sz w:val="18"/>
          <w:szCs w:val="18"/>
        </w:rPr>
        <w:t xml:space="preserve"> </w:t>
      </w:r>
      <w:r>
        <w:rPr>
          <w:rFonts w:ascii="PermianSerifTypeface" w:hAnsi="PermianSerifTypeface"/>
          <w:bCs/>
          <w:i/>
          <w:iCs/>
          <w:color w:val="A6A6A6" w:themeColor="background1" w:themeShade="A6"/>
          <w:sz w:val="18"/>
          <w:szCs w:val="18"/>
        </w:rPr>
        <w:t>15</w:t>
      </w:r>
      <w:r w:rsidRPr="00F2646C">
        <w:rPr>
          <w:rFonts w:ascii="PermianSerifTypeface" w:hAnsi="PermianSerifTypeface"/>
          <w:bCs/>
          <w:i/>
          <w:iCs/>
          <w:color w:val="A6A6A6" w:themeColor="background1" w:themeShade="A6"/>
          <w:sz w:val="18"/>
          <w:szCs w:val="18"/>
        </w:rPr>
        <w:t xml:space="preserve"> </w:t>
      </w:r>
      <w:r>
        <w:rPr>
          <w:rFonts w:ascii="PermianSerifTypeface" w:hAnsi="PermianSerifTypeface"/>
          <w:bCs/>
          <w:i/>
          <w:iCs/>
          <w:color w:val="A6A6A6" w:themeColor="background1" w:themeShade="A6"/>
          <w:sz w:val="18"/>
          <w:szCs w:val="18"/>
        </w:rPr>
        <w:t>June</w:t>
      </w:r>
      <w:r w:rsidRPr="00F2646C">
        <w:rPr>
          <w:rFonts w:ascii="PermianSerifTypeface" w:hAnsi="PermianSerifTypeface"/>
          <w:bCs/>
          <w:i/>
          <w:iCs/>
          <w:color w:val="A6A6A6" w:themeColor="background1" w:themeShade="A6"/>
          <w:sz w:val="18"/>
          <w:szCs w:val="18"/>
        </w:rPr>
        <w:t xml:space="preserve"> 20</w:t>
      </w:r>
      <w:r>
        <w:rPr>
          <w:rFonts w:ascii="PermianSerifTypeface" w:hAnsi="PermianSerifTypeface"/>
          <w:bCs/>
          <w:i/>
          <w:iCs/>
          <w:color w:val="A6A6A6" w:themeColor="background1" w:themeShade="A6"/>
          <w:sz w:val="18"/>
          <w:szCs w:val="18"/>
        </w:rPr>
        <w:t>23</w:t>
      </w:r>
    </w:p>
    <w:p w14:paraId="2E15301F" w14:textId="77777777" w:rsidR="00CC3DBD" w:rsidRPr="006C2569" w:rsidRDefault="00CC3DBD" w:rsidP="00CC3DBD">
      <w:pPr>
        <w:pStyle w:val="10"/>
        <w:keepNext/>
        <w:keepLines/>
        <w:shd w:val="clear" w:color="auto" w:fill="auto"/>
        <w:spacing w:before="0" w:line="240" w:lineRule="auto"/>
        <w:ind w:right="-1"/>
        <w:jc w:val="center"/>
        <w:rPr>
          <w:rFonts w:ascii="PermianSerifTypeface" w:hAnsi="PermianSerifTypeface"/>
          <w:b/>
          <w:color w:val="000000" w:themeColor="text1"/>
          <w:sz w:val="22"/>
          <w:szCs w:val="22"/>
          <w:lang w:val="ro-RO"/>
        </w:rPr>
      </w:pPr>
    </w:p>
    <w:p w14:paraId="7DE3E1C3" w14:textId="3FDFFAF3" w:rsidR="00CC3DBD" w:rsidRPr="002C30A3" w:rsidRDefault="00915432" w:rsidP="003F3BE4">
      <w:pPr>
        <w:pStyle w:val="10"/>
        <w:keepNext/>
        <w:keepLines/>
        <w:spacing w:line="240" w:lineRule="auto"/>
        <w:ind w:right="-1"/>
        <w:jc w:val="center"/>
        <w:rPr>
          <w:rFonts w:ascii="PermianSerifTypeface" w:hAnsi="PermianSerifTypeface"/>
          <w:b/>
          <w:color w:val="000000" w:themeColor="text1"/>
          <w:lang w:val="en-GB"/>
        </w:rPr>
      </w:pPr>
      <w:r w:rsidRPr="002C30A3">
        <w:rPr>
          <w:rFonts w:ascii="PermianSerifTypeface" w:hAnsi="PermianSerifTypeface"/>
          <w:b/>
          <w:color w:val="000000" w:themeColor="text1"/>
          <w:lang w:val="en-GB"/>
        </w:rPr>
        <w:t xml:space="preserve">For the amendment of Annex No 1 to the Decision of the Executive Board of the National Bank of Moldova No 180/2019 </w:t>
      </w:r>
      <w:r w:rsidR="00F72E23" w:rsidRPr="002C30A3">
        <w:rPr>
          <w:rFonts w:ascii="PermianSerifTypeface" w:hAnsi="PermianSerifTypeface"/>
          <w:b/>
          <w:color w:val="000000" w:themeColor="text1"/>
          <w:lang w:val="en-GB"/>
        </w:rPr>
        <w:t>„</w:t>
      </w:r>
      <w:r w:rsidRPr="002C30A3">
        <w:rPr>
          <w:rFonts w:ascii="PermianSerifTypeface" w:hAnsi="PermianSerifTypeface"/>
          <w:b/>
          <w:color w:val="000000" w:themeColor="text1"/>
          <w:lang w:val="en-GB"/>
        </w:rPr>
        <w:t>On fees applied to payment transactions made with a payment card o</w:t>
      </w:r>
      <w:bookmarkStart w:id="0" w:name="_GoBack"/>
      <w:bookmarkEnd w:id="0"/>
      <w:r w:rsidRPr="002C30A3">
        <w:rPr>
          <w:rFonts w:ascii="PermianSerifTypeface" w:hAnsi="PermianSerifTypeface"/>
          <w:b/>
          <w:color w:val="000000" w:themeColor="text1"/>
          <w:lang w:val="en-GB"/>
        </w:rPr>
        <w:t>r by a similar device, fees charged by payment service providers for payment transactions involving utilization of the automated interbank payment system, fees collected by the National Bank of Moldova for payments processed in the automated interbank payment system, and maximum amount of the payment document accepted by the Designated-time Net Settlement system from participants</w:t>
      </w:r>
      <w:r w:rsidR="008B0863" w:rsidRPr="002C30A3">
        <w:rPr>
          <w:rFonts w:ascii="PermianSerifTypeface" w:hAnsi="PermianSerifTypeface"/>
          <w:b/>
          <w:color w:val="000000" w:themeColor="text1"/>
          <w:lang w:val="en-GB"/>
        </w:rPr>
        <w:t>”</w:t>
      </w:r>
    </w:p>
    <w:p w14:paraId="2A58E124" w14:textId="77777777" w:rsidR="00CC3DBD" w:rsidRPr="00AC57FB" w:rsidRDefault="00CC3DBD" w:rsidP="00CC3DBD">
      <w:pPr>
        <w:pStyle w:val="BodyText2"/>
        <w:ind w:right="-1"/>
        <w:rPr>
          <w:rFonts w:ascii="PermianSerifTypeface" w:hAnsi="PermianSerifTypeface"/>
          <w:color w:val="000000" w:themeColor="text1"/>
          <w:sz w:val="22"/>
          <w:szCs w:val="22"/>
          <w:lang w:val="en-GB"/>
        </w:rPr>
      </w:pPr>
    </w:p>
    <w:p w14:paraId="6ECEE7AE" w14:textId="2C76363C" w:rsidR="007A5385" w:rsidRPr="002C30A3" w:rsidRDefault="007A5385" w:rsidP="007A5385">
      <w:pPr>
        <w:spacing w:after="0" w:line="276" w:lineRule="auto"/>
        <w:jc w:val="both"/>
        <w:rPr>
          <w:rFonts w:ascii="PermianSerifTypeface" w:hAnsi="PermianSerifTypeface"/>
          <w:lang w:val="en-GB"/>
        </w:rPr>
      </w:pPr>
      <w:r w:rsidRPr="002C30A3">
        <w:rPr>
          <w:rFonts w:ascii="PermianSerifTypeface" w:hAnsi="PermianSerifTypeface"/>
          <w:color w:val="000000" w:themeColor="text1"/>
          <w:lang w:val="en-GB"/>
        </w:rPr>
        <w:t>Pursuant to Article 5, paragraph (1), letter m), of the Law No 548/1995 on the National Bank of Moldova (republished in the Official Monitor of the Republic of Moldova, 2015, No 297-300, Article 544), with further amendments, Article 50, paragraph (6)</w:t>
      </w:r>
      <w:r w:rsidRPr="002C30A3">
        <w:rPr>
          <w:rFonts w:ascii="PermianSerifTypeface" w:hAnsi="PermianSerifTypeface"/>
          <w:lang w:val="en-GB"/>
        </w:rPr>
        <w:t xml:space="preserve"> of the Law No 114/2012 on Payment Services and Electronic Money (Official Monitor of the Republic of Moldova, 2012, No 193-197, Article 661), with further amendments, the Executive Board of the National Bank of Moldova</w:t>
      </w:r>
    </w:p>
    <w:p w14:paraId="2EC1D9C0" w14:textId="129AF99F" w:rsidR="00CC3DBD" w:rsidRPr="00AC57FB" w:rsidRDefault="00CC3DBD" w:rsidP="00F72E23">
      <w:pPr>
        <w:pStyle w:val="BodyText2"/>
        <w:ind w:firstLine="720"/>
        <w:jc w:val="both"/>
        <w:rPr>
          <w:rFonts w:ascii="PermianSerifTypeface" w:hAnsi="PermianSerifTypeface"/>
          <w:color w:val="000000" w:themeColor="text1"/>
          <w:sz w:val="22"/>
          <w:szCs w:val="22"/>
          <w:lang w:val="en-GB"/>
        </w:rPr>
      </w:pPr>
    </w:p>
    <w:p w14:paraId="7E3C2843" w14:textId="77777777" w:rsidR="00BD2944" w:rsidRPr="00AC57FB" w:rsidRDefault="00BD2944" w:rsidP="00CC3DBD">
      <w:pPr>
        <w:pStyle w:val="BodyText2"/>
        <w:jc w:val="both"/>
        <w:rPr>
          <w:rFonts w:ascii="PermianSerifTypeface" w:hAnsi="PermianSerifTypeface"/>
          <w:color w:val="000000" w:themeColor="text1"/>
          <w:sz w:val="22"/>
          <w:szCs w:val="22"/>
          <w:lang w:val="en-GB"/>
        </w:rPr>
      </w:pPr>
    </w:p>
    <w:p w14:paraId="68752596" w14:textId="77777777" w:rsidR="000C3D12" w:rsidRPr="00AC57FB" w:rsidRDefault="000C3D12" w:rsidP="00CC3DBD">
      <w:pPr>
        <w:pStyle w:val="BodyText2"/>
        <w:jc w:val="both"/>
        <w:rPr>
          <w:rFonts w:ascii="PermianSerifTypeface" w:hAnsi="PermianSerifTypeface"/>
          <w:color w:val="000000" w:themeColor="text1"/>
          <w:sz w:val="22"/>
          <w:szCs w:val="22"/>
          <w:lang w:val="en-GB"/>
        </w:rPr>
      </w:pPr>
    </w:p>
    <w:p w14:paraId="49588492" w14:textId="77777777" w:rsidR="007A5385" w:rsidRDefault="007A5385" w:rsidP="007A5385">
      <w:pPr>
        <w:pStyle w:val="BodyText2"/>
        <w:tabs>
          <w:tab w:val="left" w:pos="1134"/>
        </w:tabs>
        <w:rPr>
          <w:rFonts w:ascii="PermianSerifTypeface" w:hAnsi="PermianSerifTypeface"/>
          <w:b/>
          <w:bCs w:val="0"/>
          <w:color w:val="000000" w:themeColor="text1"/>
          <w:sz w:val="26"/>
          <w:szCs w:val="26"/>
          <w:lang w:val="en-GB"/>
        </w:rPr>
      </w:pPr>
      <w:r w:rsidRPr="002C30A3">
        <w:rPr>
          <w:rFonts w:ascii="PermianSerifTypeface" w:hAnsi="PermianSerifTypeface"/>
          <w:b/>
          <w:bCs w:val="0"/>
          <w:color w:val="000000" w:themeColor="text1"/>
          <w:sz w:val="26"/>
          <w:szCs w:val="26"/>
          <w:lang w:val="en-GB"/>
        </w:rPr>
        <w:t>DECIDED</w:t>
      </w:r>
      <w:r w:rsidR="00CC3DBD" w:rsidRPr="002C30A3">
        <w:rPr>
          <w:rFonts w:ascii="PermianSerifTypeface" w:hAnsi="PermianSerifTypeface"/>
          <w:b/>
          <w:bCs w:val="0"/>
          <w:color w:val="000000" w:themeColor="text1"/>
          <w:sz w:val="26"/>
          <w:szCs w:val="26"/>
          <w:lang w:val="en-GB"/>
        </w:rPr>
        <w:t>:</w:t>
      </w:r>
    </w:p>
    <w:p w14:paraId="248F0F9A" w14:textId="77777777" w:rsidR="002C30A3" w:rsidRDefault="002C30A3" w:rsidP="007A5385">
      <w:pPr>
        <w:pStyle w:val="BodyText2"/>
        <w:tabs>
          <w:tab w:val="left" w:pos="1134"/>
        </w:tabs>
        <w:rPr>
          <w:rFonts w:ascii="PermianSerifTypeface" w:hAnsi="PermianSerifTypeface"/>
          <w:b/>
          <w:bCs w:val="0"/>
          <w:color w:val="000000" w:themeColor="text1"/>
          <w:sz w:val="26"/>
          <w:szCs w:val="26"/>
          <w:lang w:val="en-GB"/>
        </w:rPr>
      </w:pPr>
    </w:p>
    <w:p w14:paraId="4CA13529" w14:textId="77777777" w:rsidR="002C30A3" w:rsidRPr="002C30A3" w:rsidRDefault="002C30A3" w:rsidP="007A5385">
      <w:pPr>
        <w:pStyle w:val="BodyText2"/>
        <w:tabs>
          <w:tab w:val="left" w:pos="1134"/>
        </w:tabs>
        <w:rPr>
          <w:rFonts w:ascii="PermianSerifTypeface" w:hAnsi="PermianSerifTypeface"/>
          <w:b/>
          <w:bCs w:val="0"/>
          <w:color w:val="000000" w:themeColor="text1"/>
          <w:sz w:val="26"/>
          <w:szCs w:val="26"/>
          <w:lang w:val="en-GB"/>
        </w:rPr>
      </w:pPr>
    </w:p>
    <w:p w14:paraId="6058EDAE" w14:textId="77777777" w:rsidR="007A5385" w:rsidRDefault="007A5385" w:rsidP="007A5385">
      <w:pPr>
        <w:pStyle w:val="BodyText2"/>
        <w:tabs>
          <w:tab w:val="left" w:pos="1134"/>
        </w:tabs>
        <w:rPr>
          <w:rFonts w:ascii="PermianSerifTypeface" w:hAnsi="PermianSerifTypeface"/>
          <w:b/>
          <w:bCs w:val="0"/>
          <w:color w:val="000000" w:themeColor="text1"/>
          <w:sz w:val="22"/>
          <w:szCs w:val="22"/>
          <w:lang w:val="en-GB"/>
        </w:rPr>
      </w:pPr>
    </w:p>
    <w:p w14:paraId="5851976D" w14:textId="13692421" w:rsidR="003536EB" w:rsidRPr="002C30A3" w:rsidRDefault="00A85BD8" w:rsidP="00A85BD8">
      <w:pPr>
        <w:pStyle w:val="BodyText2"/>
        <w:numPr>
          <w:ilvl w:val="0"/>
          <w:numId w:val="21"/>
        </w:numPr>
        <w:tabs>
          <w:tab w:val="left" w:pos="1134"/>
        </w:tabs>
        <w:jc w:val="both"/>
        <w:rPr>
          <w:rFonts w:ascii="PermianSerifTypeface" w:hAnsi="PermianSerifTypeface"/>
          <w:color w:val="000000" w:themeColor="text1"/>
          <w:sz w:val="22"/>
          <w:szCs w:val="22"/>
          <w:lang w:val="en-GB"/>
        </w:rPr>
      </w:pPr>
      <w:r w:rsidRPr="002C30A3">
        <w:rPr>
          <w:rFonts w:ascii="PermianSerifTypeface" w:hAnsi="PermianSerifTypeface"/>
          <w:color w:val="000000" w:themeColor="text1"/>
          <w:sz w:val="22"/>
          <w:szCs w:val="22"/>
          <w:lang w:val="en-GB"/>
        </w:rPr>
        <w:t xml:space="preserve">Annex No 1 to the Decision of the Executive Board of the National Bank of Moldova No 180 of 27 June 2019 </w:t>
      </w:r>
      <w:r w:rsidR="00F72E23" w:rsidRPr="002C30A3">
        <w:rPr>
          <w:rFonts w:ascii="PermianSerifTypeface" w:hAnsi="PermianSerifTypeface"/>
          <w:color w:val="000000" w:themeColor="text1"/>
          <w:sz w:val="22"/>
          <w:szCs w:val="22"/>
          <w:lang w:val="en-GB"/>
        </w:rPr>
        <w:t>„</w:t>
      </w:r>
      <w:bookmarkStart w:id="1" w:name="_Hlk136855874"/>
      <w:r w:rsidRPr="002C30A3">
        <w:rPr>
          <w:rFonts w:ascii="PermianSerifTypeface" w:hAnsi="PermianSerifTypeface"/>
          <w:sz w:val="22"/>
          <w:szCs w:val="22"/>
        </w:rPr>
        <w:t>O</w:t>
      </w:r>
      <w:r w:rsidRPr="002C30A3">
        <w:rPr>
          <w:rFonts w:ascii="PermianSerifTypeface" w:hAnsi="PermianSerifTypeface"/>
          <w:color w:val="000000" w:themeColor="text1"/>
          <w:sz w:val="22"/>
          <w:szCs w:val="22"/>
          <w:lang w:val="en-GB"/>
        </w:rPr>
        <w:t>n fees applied to payment transactions made with a payment card or by a similar device, fees charged by payment service providers for payment transactions involving utilization of the automated interbank payment system, fees collected by the National Bank of Moldova for payments processed in the automated interbank payment system, and maximum amount of the payment document accepted by the Designated-time Net Settlement system from participants</w:t>
      </w:r>
      <w:bookmarkEnd w:id="1"/>
      <w:r w:rsidR="008B0863" w:rsidRPr="002C30A3">
        <w:rPr>
          <w:rFonts w:ascii="PermianSerifTypeface" w:hAnsi="PermianSerifTypeface"/>
          <w:color w:val="000000" w:themeColor="text1"/>
          <w:sz w:val="22"/>
          <w:szCs w:val="22"/>
          <w:lang w:val="en-GB"/>
        </w:rPr>
        <w:t>”</w:t>
      </w:r>
      <w:r w:rsidR="006B5E7E" w:rsidRPr="002C30A3">
        <w:rPr>
          <w:rFonts w:ascii="PermianSerifTypeface" w:hAnsi="PermianSerifTypeface"/>
          <w:color w:val="000000" w:themeColor="text1"/>
          <w:sz w:val="22"/>
          <w:szCs w:val="22"/>
          <w:lang w:val="en-GB"/>
        </w:rPr>
        <w:t xml:space="preserve"> </w:t>
      </w:r>
      <w:r w:rsidR="00BC29DE" w:rsidRPr="002C30A3">
        <w:rPr>
          <w:rFonts w:ascii="PermianSerifTypeface" w:hAnsi="PermianSerifTypeface"/>
          <w:color w:val="000000" w:themeColor="text1"/>
          <w:sz w:val="22"/>
          <w:szCs w:val="22"/>
          <w:lang w:val="en-GB"/>
        </w:rPr>
        <w:t>(</w:t>
      </w:r>
      <w:r w:rsidRPr="002C30A3">
        <w:rPr>
          <w:rFonts w:ascii="PermianSerifTypeface" w:hAnsi="PermianSerifTypeface"/>
          <w:color w:val="000000" w:themeColor="text1"/>
          <w:sz w:val="22"/>
          <w:szCs w:val="22"/>
          <w:lang w:val="en-GB"/>
        </w:rPr>
        <w:t>Official Monitor of the Republic of Moldova</w:t>
      </w:r>
      <w:r w:rsidR="00BC29DE" w:rsidRPr="002C30A3">
        <w:rPr>
          <w:rFonts w:ascii="PermianSerifTypeface" w:hAnsi="PermianSerifTypeface"/>
          <w:color w:val="000000" w:themeColor="text1"/>
          <w:sz w:val="22"/>
          <w:szCs w:val="22"/>
          <w:lang w:val="en-GB"/>
        </w:rPr>
        <w:t xml:space="preserve">, 2019, </w:t>
      </w:r>
      <w:r w:rsidRPr="002C30A3">
        <w:rPr>
          <w:rFonts w:ascii="PermianSerifTypeface" w:hAnsi="PermianSerifTypeface"/>
          <w:color w:val="000000" w:themeColor="text1"/>
          <w:sz w:val="22"/>
          <w:szCs w:val="22"/>
          <w:lang w:val="en-GB"/>
        </w:rPr>
        <w:t>No</w:t>
      </w:r>
      <w:r w:rsidR="00BC29DE" w:rsidRPr="002C30A3">
        <w:rPr>
          <w:rFonts w:ascii="PermianSerifTypeface" w:hAnsi="PermianSerifTypeface"/>
          <w:color w:val="000000" w:themeColor="text1"/>
          <w:sz w:val="22"/>
          <w:szCs w:val="22"/>
          <w:lang w:val="en-GB"/>
        </w:rPr>
        <w:t xml:space="preserve"> 223-229, </w:t>
      </w:r>
      <w:r w:rsidRPr="002C30A3">
        <w:rPr>
          <w:rFonts w:ascii="PermianSerifTypeface" w:hAnsi="PermianSerifTypeface"/>
          <w:color w:val="000000" w:themeColor="text1"/>
          <w:sz w:val="22"/>
          <w:szCs w:val="22"/>
          <w:lang w:val="en-GB"/>
        </w:rPr>
        <w:t>A</w:t>
      </w:r>
      <w:r w:rsidR="00BC29DE" w:rsidRPr="002C30A3">
        <w:rPr>
          <w:rFonts w:ascii="PermianSerifTypeface" w:hAnsi="PermianSerifTypeface"/>
          <w:color w:val="000000" w:themeColor="text1"/>
          <w:sz w:val="22"/>
          <w:szCs w:val="22"/>
          <w:lang w:val="en-GB"/>
        </w:rPr>
        <w:t>rt</w:t>
      </w:r>
      <w:r w:rsidRPr="002C30A3">
        <w:rPr>
          <w:rFonts w:ascii="PermianSerifTypeface" w:hAnsi="PermianSerifTypeface"/>
          <w:color w:val="000000" w:themeColor="text1"/>
          <w:sz w:val="22"/>
          <w:szCs w:val="22"/>
          <w:lang w:val="en-GB"/>
        </w:rPr>
        <w:t>icle</w:t>
      </w:r>
      <w:r w:rsidR="00BC29DE" w:rsidRPr="002C30A3">
        <w:rPr>
          <w:rFonts w:ascii="PermianSerifTypeface" w:hAnsi="PermianSerifTypeface"/>
          <w:color w:val="000000" w:themeColor="text1"/>
          <w:sz w:val="22"/>
          <w:szCs w:val="22"/>
          <w:lang w:val="en-GB"/>
        </w:rPr>
        <w:t xml:space="preserve"> 1271</w:t>
      </w:r>
      <w:r w:rsidRPr="002C30A3">
        <w:rPr>
          <w:rFonts w:ascii="PermianSerifTypeface" w:hAnsi="PermianSerifTypeface"/>
          <w:color w:val="000000" w:themeColor="text1"/>
          <w:sz w:val="22"/>
          <w:szCs w:val="22"/>
          <w:lang w:val="en-GB"/>
        </w:rPr>
        <w:t>),</w:t>
      </w:r>
      <w:r w:rsidRPr="002C30A3">
        <w:rPr>
          <w:rFonts w:ascii="PermianSerifTypeface" w:hAnsi="PermianSerifTypeface"/>
          <w:sz w:val="22"/>
          <w:szCs w:val="22"/>
        </w:rPr>
        <w:t xml:space="preserve"> </w:t>
      </w:r>
      <w:r w:rsidRPr="002C30A3">
        <w:rPr>
          <w:rFonts w:ascii="PermianSerifTypeface" w:hAnsi="PermianSerifTypeface"/>
          <w:color w:val="000000" w:themeColor="text1"/>
          <w:sz w:val="22"/>
          <w:szCs w:val="22"/>
          <w:lang w:val="en-GB"/>
        </w:rPr>
        <w:t>registered by the Ministry of Justice of the Republic of Moldova under No 1471 of 5 July 2019</w:t>
      </w:r>
      <w:r w:rsidR="008B0863" w:rsidRPr="002C30A3">
        <w:rPr>
          <w:rFonts w:ascii="PermianSerifTypeface" w:hAnsi="PermianSerifTypeface"/>
          <w:color w:val="000000" w:themeColor="text1"/>
          <w:sz w:val="22"/>
          <w:szCs w:val="22"/>
          <w:lang w:val="en-GB"/>
        </w:rPr>
        <w:t xml:space="preserve">, </w:t>
      </w:r>
      <w:r w:rsidRPr="002C30A3">
        <w:rPr>
          <w:rFonts w:ascii="PermianSerifTypeface" w:hAnsi="PermianSerifTypeface"/>
          <w:color w:val="000000" w:themeColor="text1"/>
          <w:sz w:val="22"/>
          <w:szCs w:val="22"/>
          <w:lang w:val="en-GB"/>
        </w:rPr>
        <w:t>shall read as follows</w:t>
      </w:r>
      <w:r w:rsidR="003536EB" w:rsidRPr="002C30A3">
        <w:rPr>
          <w:rFonts w:ascii="PermianSerifTypeface" w:hAnsi="PermianSerifTypeface"/>
          <w:color w:val="000000" w:themeColor="text1"/>
          <w:sz w:val="22"/>
          <w:szCs w:val="22"/>
          <w:lang w:val="en-GB"/>
        </w:rPr>
        <w:t>:</w:t>
      </w:r>
    </w:p>
    <w:p w14:paraId="6571F36E" w14:textId="77777777" w:rsidR="00580E77" w:rsidRPr="00AC57FB" w:rsidRDefault="00580E77" w:rsidP="003536EB">
      <w:pPr>
        <w:pStyle w:val="Punct"/>
        <w:numPr>
          <w:ilvl w:val="0"/>
          <w:numId w:val="0"/>
        </w:numPr>
        <w:tabs>
          <w:tab w:val="clear" w:pos="1134"/>
          <w:tab w:val="left" w:pos="284"/>
          <w:tab w:val="left" w:pos="851"/>
        </w:tabs>
        <w:spacing w:before="0"/>
        <w:ind w:left="720"/>
        <w:rPr>
          <w:rFonts w:ascii="PermianSerifTypeface" w:hAnsi="PermianSerifTypeface"/>
          <w:color w:val="000000" w:themeColor="text1"/>
          <w:lang w:val="en-GB"/>
        </w:rPr>
      </w:pPr>
    </w:p>
    <w:p w14:paraId="66AAEABD" w14:textId="6A2C1441" w:rsidR="00AC57FB" w:rsidRPr="002C30A3" w:rsidRDefault="00F72E23" w:rsidP="00A85BD8">
      <w:pPr>
        <w:pStyle w:val="Punct"/>
        <w:numPr>
          <w:ilvl w:val="0"/>
          <w:numId w:val="0"/>
        </w:numPr>
        <w:tabs>
          <w:tab w:val="left" w:pos="284"/>
          <w:tab w:val="left" w:pos="851"/>
        </w:tabs>
        <w:ind w:left="360"/>
        <w:jc w:val="right"/>
        <w:rPr>
          <w:rFonts w:ascii="PermianSerifTypeface" w:hAnsi="PermianSerifTypeface"/>
          <w:b/>
          <w:color w:val="000000" w:themeColor="text1"/>
          <w:lang w:val="en-GB"/>
        </w:rPr>
      </w:pPr>
      <w:r w:rsidRPr="002C30A3">
        <w:rPr>
          <w:rFonts w:ascii="PermianSerifTypeface" w:hAnsi="PermianSerifTypeface"/>
          <w:b/>
          <w:color w:val="000000" w:themeColor="text1"/>
          <w:lang w:val="en-GB"/>
        </w:rPr>
        <w:t>„</w:t>
      </w:r>
      <w:r w:rsidR="00AC57FB" w:rsidRPr="002C30A3">
        <w:rPr>
          <w:rFonts w:ascii="PermianSerifTypeface" w:hAnsi="PermianSerifTypeface"/>
          <w:b/>
          <w:color w:val="000000" w:themeColor="text1"/>
          <w:lang w:val="en-GB"/>
        </w:rPr>
        <w:t>Annex No 1</w:t>
      </w:r>
    </w:p>
    <w:p w14:paraId="45FC4221" w14:textId="77777777" w:rsidR="00AC57FB" w:rsidRPr="00AC57FB" w:rsidRDefault="00AC57FB" w:rsidP="00A85BD8">
      <w:pPr>
        <w:pStyle w:val="Punct"/>
        <w:numPr>
          <w:ilvl w:val="0"/>
          <w:numId w:val="0"/>
        </w:numPr>
        <w:tabs>
          <w:tab w:val="left" w:pos="284"/>
          <w:tab w:val="left" w:pos="851"/>
        </w:tabs>
        <w:ind w:left="360"/>
        <w:jc w:val="right"/>
        <w:rPr>
          <w:rFonts w:ascii="PermianSerifTypeface" w:hAnsi="PermianSerifTypeface"/>
          <w:bCs/>
          <w:color w:val="000000" w:themeColor="text1"/>
          <w:lang w:val="en-GB"/>
        </w:rPr>
      </w:pPr>
      <w:r w:rsidRPr="00AC57FB">
        <w:rPr>
          <w:rFonts w:ascii="PermianSerifTypeface" w:hAnsi="PermianSerifTypeface"/>
          <w:bCs/>
          <w:color w:val="000000" w:themeColor="text1"/>
          <w:lang w:val="en-GB"/>
        </w:rPr>
        <w:t>to the Decision of the Executive Board of the National Bank of Moldova</w:t>
      </w:r>
    </w:p>
    <w:p w14:paraId="128B0FC0" w14:textId="77777777" w:rsidR="00AC57FB" w:rsidRDefault="00AC57FB" w:rsidP="00AC57FB">
      <w:pPr>
        <w:pStyle w:val="Punct"/>
        <w:numPr>
          <w:ilvl w:val="0"/>
          <w:numId w:val="0"/>
        </w:numPr>
        <w:tabs>
          <w:tab w:val="clear" w:pos="1134"/>
          <w:tab w:val="left" w:pos="284"/>
          <w:tab w:val="left" w:pos="851"/>
        </w:tabs>
        <w:spacing w:before="0"/>
        <w:jc w:val="right"/>
        <w:rPr>
          <w:rFonts w:ascii="PermianSerifTypeface" w:hAnsi="PermianSerifTypeface"/>
          <w:bCs/>
          <w:color w:val="000000" w:themeColor="text1"/>
          <w:lang w:val="en-GB"/>
        </w:rPr>
      </w:pPr>
      <w:r w:rsidRPr="00AC57FB">
        <w:rPr>
          <w:rFonts w:ascii="PermianSerifTypeface" w:hAnsi="PermianSerifTypeface"/>
          <w:bCs/>
          <w:color w:val="000000" w:themeColor="text1"/>
          <w:lang w:val="en-GB"/>
        </w:rPr>
        <w:t>No 180 of 27 June 2019</w:t>
      </w:r>
    </w:p>
    <w:p w14:paraId="7AE2CEFF" w14:textId="77777777" w:rsidR="002C30A3" w:rsidRPr="00AC57FB" w:rsidRDefault="002C30A3" w:rsidP="00AC57FB">
      <w:pPr>
        <w:pStyle w:val="Punct"/>
        <w:numPr>
          <w:ilvl w:val="0"/>
          <w:numId w:val="0"/>
        </w:numPr>
        <w:tabs>
          <w:tab w:val="clear" w:pos="1134"/>
          <w:tab w:val="left" w:pos="284"/>
          <w:tab w:val="left" w:pos="851"/>
        </w:tabs>
        <w:spacing w:before="0"/>
        <w:jc w:val="right"/>
        <w:rPr>
          <w:rFonts w:ascii="PermianSerifTypeface" w:hAnsi="PermianSerifTypeface"/>
          <w:bCs/>
          <w:color w:val="000000" w:themeColor="text1"/>
          <w:lang w:val="en-GB"/>
        </w:rPr>
      </w:pPr>
    </w:p>
    <w:p w14:paraId="45AE0BF2" w14:textId="74C2951F" w:rsidR="006C2653" w:rsidRPr="002C30A3" w:rsidRDefault="00AA7BBF" w:rsidP="002C30A3">
      <w:pPr>
        <w:pStyle w:val="Punct"/>
        <w:numPr>
          <w:ilvl w:val="0"/>
          <w:numId w:val="0"/>
        </w:numPr>
        <w:tabs>
          <w:tab w:val="clear" w:pos="1134"/>
          <w:tab w:val="left" w:pos="284"/>
          <w:tab w:val="left" w:pos="851"/>
        </w:tabs>
        <w:spacing w:before="0"/>
        <w:jc w:val="center"/>
        <w:rPr>
          <w:rFonts w:ascii="PermianSerifTypeface" w:eastAsia="Calibri" w:hAnsi="PermianSerifTypeface"/>
          <w:b/>
          <w:color w:val="000000"/>
          <w:sz w:val="26"/>
          <w:szCs w:val="26"/>
          <w:lang w:val="en-GB"/>
        </w:rPr>
      </w:pPr>
      <w:r w:rsidRPr="002C30A3">
        <w:rPr>
          <w:rFonts w:ascii="PermianSerifTypeface" w:eastAsia="Calibri" w:hAnsi="PermianSerifTypeface"/>
          <w:b/>
          <w:color w:val="000000"/>
          <w:sz w:val="26"/>
          <w:szCs w:val="26"/>
          <w:lang w:val="en-GB"/>
        </w:rPr>
        <w:t>Conditions for determining the amount of interchange fees and additional fees applied depending on the brand and category of those payment cards for payment transactions made with a payment card or by a similar device by the payment service providers</w:t>
      </w:r>
    </w:p>
    <w:p w14:paraId="5F1072AF" w14:textId="7A5FBBA1" w:rsidR="00F74426" w:rsidRPr="00AC57FB" w:rsidRDefault="00F74426" w:rsidP="00AC57FB">
      <w:pPr>
        <w:pStyle w:val="Punct"/>
        <w:numPr>
          <w:ilvl w:val="0"/>
          <w:numId w:val="0"/>
        </w:numPr>
        <w:tabs>
          <w:tab w:val="clear" w:pos="1134"/>
          <w:tab w:val="left" w:pos="284"/>
          <w:tab w:val="left" w:pos="851"/>
        </w:tabs>
        <w:spacing w:before="0"/>
        <w:jc w:val="right"/>
        <w:rPr>
          <w:rFonts w:ascii="PermianSerifTypeface" w:eastAsia="Calibri" w:hAnsi="PermianSerifTypeface"/>
          <w:b/>
          <w:color w:val="000000"/>
          <w:lang w:val="en-GB"/>
        </w:rPr>
      </w:pPr>
      <w:r w:rsidRPr="00AC57FB">
        <w:rPr>
          <w:rFonts w:ascii="PermianSerifTypeface" w:eastAsia="Calibri" w:hAnsi="PermianSerifTypeface"/>
          <w:b/>
          <w:color w:val="000000"/>
          <w:lang w:val="en-GB"/>
        </w:rPr>
        <w:t xml:space="preserve"> </w:t>
      </w:r>
    </w:p>
    <w:p w14:paraId="150C9C70" w14:textId="7AA427D3" w:rsidR="00F74426" w:rsidRPr="00AC57FB" w:rsidRDefault="00B10776" w:rsidP="00324DB1">
      <w:pPr>
        <w:pStyle w:val="ListParagraph"/>
        <w:numPr>
          <w:ilvl w:val="0"/>
          <w:numId w:val="19"/>
        </w:numPr>
        <w:spacing w:after="240"/>
        <w:jc w:val="both"/>
        <w:rPr>
          <w:rFonts w:ascii="PermianSerifTypeface" w:eastAsia="Calibri" w:hAnsi="PermianSerifTypeface" w:cs="Times New Roman"/>
          <w:b/>
          <w:color w:val="000000"/>
          <w:lang w:val="en-GB"/>
        </w:rPr>
      </w:pPr>
      <w:r w:rsidRPr="00B10776">
        <w:rPr>
          <w:rFonts w:ascii="PermianSerifTypeface" w:eastAsia="Calibri" w:hAnsi="PermianSerifTypeface" w:cs="Times New Roman"/>
          <w:lang w:val="en-GB" w:eastAsia="ru-RU"/>
        </w:rPr>
        <w:t>For determining the amount of the fee paid by the merchant to the accepting provider for services rendered in the case of card transactions, the conditions specified in the table below shall be considered</w:t>
      </w:r>
      <w:r w:rsidR="00F74426" w:rsidRPr="00AC57FB">
        <w:rPr>
          <w:rFonts w:ascii="PermianSerifTypeface" w:eastAsia="Calibri" w:hAnsi="PermianSerifTypeface" w:cs="Times New Roman"/>
          <w:lang w:val="en-GB" w:eastAsia="ru-RU"/>
        </w:rPr>
        <w:t>:</w:t>
      </w:r>
      <w:r w:rsidR="00F74426" w:rsidRPr="00AC57FB">
        <w:rPr>
          <w:rFonts w:ascii="PermianSerifTypeface" w:eastAsia="Calibri" w:hAnsi="PermianSerifTypeface" w:cs="Times New Roman"/>
          <w:strike/>
          <w:lang w:val="en-GB" w:eastAsia="ru-RU"/>
        </w:rPr>
        <w:t xml:space="preserve"> </w:t>
      </w:r>
    </w:p>
    <w:tbl>
      <w:tblPr>
        <w:tblW w:w="8662"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21"/>
        <w:gridCol w:w="1417"/>
        <w:gridCol w:w="1418"/>
        <w:gridCol w:w="1275"/>
        <w:gridCol w:w="2269"/>
      </w:tblGrid>
      <w:tr w:rsidR="00F74426" w:rsidRPr="00AC57FB" w14:paraId="0ACCB465" w14:textId="77777777" w:rsidTr="00A8147F">
        <w:trPr>
          <w:tblHeader/>
        </w:trPr>
        <w:tc>
          <w:tcPr>
            <w:tcW w:w="562" w:type="dxa"/>
            <w:shd w:val="clear" w:color="auto" w:fill="D9D9D9"/>
            <w:vAlign w:val="center"/>
          </w:tcPr>
          <w:p w14:paraId="1FDA27A4" w14:textId="4964EBB3" w:rsidR="00F74426" w:rsidRPr="00AC57FB" w:rsidRDefault="00F74426" w:rsidP="00F74426">
            <w:pPr>
              <w:spacing w:after="0"/>
              <w:jc w:val="center"/>
              <w:rPr>
                <w:rFonts w:ascii="PermianSerifTypeface" w:eastAsia="Calibri" w:hAnsi="PermianSerifTypeface" w:cs="Times New Roman"/>
                <w:b/>
                <w:color w:val="000000"/>
                <w:sz w:val="18"/>
                <w:szCs w:val="18"/>
                <w:lang w:val="en-GB"/>
              </w:rPr>
            </w:pPr>
            <w:bookmarkStart w:id="2" w:name="_Domeniul_de_aplicare"/>
            <w:bookmarkEnd w:id="2"/>
            <w:r w:rsidRPr="00AC57FB">
              <w:rPr>
                <w:rFonts w:ascii="PermianSerifTypeface" w:eastAsia="Calibri" w:hAnsi="PermianSerifTypeface" w:cs="Times New Roman"/>
                <w:b/>
                <w:color w:val="000000"/>
                <w:sz w:val="18"/>
                <w:szCs w:val="18"/>
                <w:lang w:val="en-GB"/>
              </w:rPr>
              <w:t>N</w:t>
            </w:r>
            <w:r w:rsidR="004C5FB0">
              <w:rPr>
                <w:rFonts w:ascii="PermianSerifTypeface" w:eastAsia="Calibri" w:hAnsi="PermianSerifTypeface" w:cs="Times New Roman"/>
                <w:b/>
                <w:color w:val="000000"/>
                <w:sz w:val="18"/>
                <w:szCs w:val="18"/>
                <w:lang w:val="en-GB"/>
              </w:rPr>
              <w:t>o</w:t>
            </w:r>
          </w:p>
        </w:tc>
        <w:tc>
          <w:tcPr>
            <w:tcW w:w="1721" w:type="dxa"/>
            <w:shd w:val="clear" w:color="auto" w:fill="D9D9D9"/>
            <w:vAlign w:val="center"/>
          </w:tcPr>
          <w:p w14:paraId="2D2E329E" w14:textId="073B7F0E" w:rsidR="00F74426" w:rsidRPr="00AC57FB" w:rsidRDefault="004C5FB0" w:rsidP="00F74426">
            <w:pPr>
              <w:spacing w:after="0"/>
              <w:ind w:left="1452" w:hanging="1452"/>
              <w:jc w:val="center"/>
              <w:rPr>
                <w:rFonts w:ascii="PermianSerifTypeface" w:eastAsia="Calibri" w:hAnsi="PermianSerifTypeface" w:cs="Times New Roman"/>
                <w:b/>
                <w:color w:val="000000"/>
                <w:sz w:val="18"/>
                <w:szCs w:val="18"/>
                <w:lang w:val="en-GB"/>
              </w:rPr>
            </w:pPr>
            <w:r w:rsidRPr="004C5FB0">
              <w:rPr>
                <w:rFonts w:ascii="PermianSerifTypeface" w:eastAsia="Calibri" w:hAnsi="PermianSerifTypeface" w:cs="Times New Roman"/>
                <w:b/>
                <w:color w:val="000000"/>
                <w:sz w:val="18"/>
                <w:szCs w:val="18"/>
                <w:lang w:val="en-GB"/>
              </w:rPr>
              <w:t>Types of fees</w:t>
            </w:r>
          </w:p>
        </w:tc>
        <w:tc>
          <w:tcPr>
            <w:tcW w:w="1417" w:type="dxa"/>
            <w:shd w:val="clear" w:color="auto" w:fill="D9D9D9"/>
            <w:vAlign w:val="center"/>
          </w:tcPr>
          <w:p w14:paraId="6058A300" w14:textId="6FF4627A" w:rsidR="00F74426" w:rsidRPr="00AC57FB" w:rsidRDefault="004C5FB0" w:rsidP="00F74426">
            <w:pPr>
              <w:spacing w:after="0"/>
              <w:jc w:val="center"/>
              <w:rPr>
                <w:rFonts w:ascii="PermianSerifTypeface" w:eastAsia="Calibri" w:hAnsi="PermianSerifTypeface" w:cs="Times New Roman"/>
                <w:b/>
                <w:color w:val="000000"/>
                <w:sz w:val="18"/>
                <w:szCs w:val="18"/>
                <w:lang w:val="en-GB"/>
              </w:rPr>
            </w:pPr>
            <w:r w:rsidRPr="004C5FB0">
              <w:rPr>
                <w:rFonts w:ascii="PermianSerifTypeface" w:eastAsia="Calibri" w:hAnsi="PermianSerifTypeface" w:cs="Times New Roman"/>
                <w:b/>
                <w:color w:val="000000"/>
                <w:sz w:val="18"/>
                <w:szCs w:val="18"/>
                <w:lang w:val="en-GB"/>
              </w:rPr>
              <w:t>Brand and/or category of payment card</w:t>
            </w:r>
          </w:p>
        </w:tc>
        <w:tc>
          <w:tcPr>
            <w:tcW w:w="1418" w:type="dxa"/>
            <w:shd w:val="clear" w:color="auto" w:fill="D9D9D9"/>
            <w:vAlign w:val="center"/>
          </w:tcPr>
          <w:p w14:paraId="43721B67" w14:textId="51C2819B" w:rsidR="00F74426" w:rsidRPr="00AC57FB" w:rsidRDefault="004C5FB0" w:rsidP="00F74426">
            <w:pPr>
              <w:spacing w:after="0"/>
              <w:jc w:val="center"/>
              <w:rPr>
                <w:rFonts w:ascii="PermianSerifTypeface" w:eastAsia="Calibri" w:hAnsi="PermianSerifTypeface" w:cs="Times New Roman"/>
                <w:b/>
                <w:color w:val="000000"/>
                <w:sz w:val="18"/>
                <w:szCs w:val="18"/>
                <w:lang w:val="en-GB"/>
              </w:rPr>
            </w:pPr>
            <w:r w:rsidRPr="004C5FB0">
              <w:rPr>
                <w:rFonts w:ascii="PermianSerifTypeface" w:eastAsia="Calibri" w:hAnsi="PermianSerifTypeface" w:cs="Times New Roman"/>
                <w:b/>
                <w:color w:val="000000"/>
                <w:sz w:val="18"/>
                <w:szCs w:val="18"/>
                <w:lang w:val="en-GB"/>
              </w:rPr>
              <w:t>Maximum amount of fee</w:t>
            </w:r>
          </w:p>
        </w:tc>
        <w:tc>
          <w:tcPr>
            <w:tcW w:w="1275" w:type="dxa"/>
            <w:shd w:val="clear" w:color="auto" w:fill="D9D9D9"/>
            <w:vAlign w:val="center"/>
          </w:tcPr>
          <w:p w14:paraId="0B92278C" w14:textId="35529F34" w:rsidR="00F74426" w:rsidRPr="00AC57FB" w:rsidRDefault="004C5FB0" w:rsidP="00F74426">
            <w:pPr>
              <w:spacing w:after="0"/>
              <w:jc w:val="center"/>
              <w:rPr>
                <w:rFonts w:ascii="PermianSerifTypeface" w:eastAsia="Calibri" w:hAnsi="PermianSerifTypeface" w:cs="Times New Roman"/>
                <w:b/>
                <w:color w:val="000000"/>
                <w:sz w:val="18"/>
                <w:szCs w:val="18"/>
                <w:lang w:val="en-GB"/>
              </w:rPr>
            </w:pPr>
            <w:r w:rsidRPr="004C5FB0">
              <w:rPr>
                <w:rFonts w:ascii="PermianSerifTypeface" w:eastAsia="Calibri" w:hAnsi="PermianSerifTypeface" w:cs="Times New Roman"/>
                <w:b/>
                <w:color w:val="000000"/>
                <w:sz w:val="18"/>
                <w:szCs w:val="18"/>
                <w:lang w:val="en-GB"/>
              </w:rPr>
              <w:t>Data of entry into force</w:t>
            </w:r>
          </w:p>
        </w:tc>
        <w:tc>
          <w:tcPr>
            <w:tcW w:w="2269" w:type="dxa"/>
            <w:shd w:val="clear" w:color="auto" w:fill="D9D9D9"/>
            <w:vAlign w:val="center"/>
          </w:tcPr>
          <w:p w14:paraId="0103D345" w14:textId="6B207748" w:rsidR="00F74426" w:rsidRPr="00AC57FB" w:rsidRDefault="00F74426" w:rsidP="00F74426">
            <w:pPr>
              <w:tabs>
                <w:tab w:val="left" w:pos="1613"/>
              </w:tabs>
              <w:spacing w:after="0"/>
              <w:jc w:val="center"/>
              <w:rPr>
                <w:rFonts w:ascii="PermianSerifTypeface" w:eastAsia="Calibri" w:hAnsi="PermianSerifTypeface" w:cs="Times New Roman"/>
                <w:b/>
                <w:color w:val="000000"/>
                <w:sz w:val="18"/>
                <w:szCs w:val="18"/>
                <w:lang w:val="en-GB"/>
              </w:rPr>
            </w:pPr>
            <w:r w:rsidRPr="00AC57FB">
              <w:rPr>
                <w:rFonts w:ascii="PermianSerifTypeface" w:eastAsia="Calibri" w:hAnsi="PermianSerifTypeface" w:cs="Times New Roman"/>
                <w:b/>
                <w:color w:val="000000"/>
                <w:sz w:val="18"/>
                <w:szCs w:val="18"/>
                <w:lang w:val="en-GB"/>
              </w:rPr>
              <w:t>Condi</w:t>
            </w:r>
            <w:r w:rsidR="004C5FB0">
              <w:rPr>
                <w:rFonts w:ascii="PermianSerifTypeface" w:eastAsia="Calibri" w:hAnsi="PermianSerifTypeface" w:cs="Times New Roman"/>
                <w:b/>
                <w:color w:val="000000"/>
                <w:sz w:val="18"/>
                <w:szCs w:val="18"/>
                <w:lang w:val="en-GB"/>
              </w:rPr>
              <w:t>tions</w:t>
            </w:r>
          </w:p>
        </w:tc>
      </w:tr>
      <w:tr w:rsidR="00F74426" w:rsidRPr="00AC57FB" w14:paraId="1916D910" w14:textId="77777777" w:rsidTr="00A8147F">
        <w:trPr>
          <w:tblHeader/>
        </w:trPr>
        <w:tc>
          <w:tcPr>
            <w:tcW w:w="562" w:type="dxa"/>
            <w:shd w:val="clear" w:color="auto" w:fill="auto"/>
            <w:vAlign w:val="center"/>
          </w:tcPr>
          <w:p w14:paraId="6A312E41" w14:textId="77777777" w:rsidR="00F74426" w:rsidRPr="00AC57FB" w:rsidRDefault="00F74426" w:rsidP="004315DE">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1</w:t>
            </w:r>
          </w:p>
        </w:tc>
        <w:tc>
          <w:tcPr>
            <w:tcW w:w="1721" w:type="dxa"/>
            <w:vAlign w:val="center"/>
          </w:tcPr>
          <w:p w14:paraId="7BC8555B" w14:textId="7CCAA5CA" w:rsidR="00F74426" w:rsidRPr="00AC57FB" w:rsidRDefault="004C5FB0" w:rsidP="004355F0">
            <w:pPr>
              <w:spacing w:after="0"/>
              <w:jc w:val="both"/>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color w:val="000000"/>
                <w:sz w:val="18"/>
                <w:szCs w:val="18"/>
                <w:lang w:val="en-GB"/>
              </w:rPr>
              <w:t>Merchant service charge</w:t>
            </w:r>
          </w:p>
        </w:tc>
        <w:tc>
          <w:tcPr>
            <w:tcW w:w="1417" w:type="dxa"/>
            <w:vAlign w:val="center"/>
          </w:tcPr>
          <w:p w14:paraId="20AB7631" w14:textId="77777777" w:rsidR="004C5FB0" w:rsidRDefault="004C5FB0" w:rsidP="00A8147F">
            <w:pPr>
              <w:spacing w:before="120" w:after="0"/>
              <w:jc w:val="center"/>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color w:val="000000"/>
                <w:sz w:val="18"/>
                <w:szCs w:val="18"/>
                <w:lang w:val="en-GB"/>
              </w:rPr>
              <w:t>Debit card</w:t>
            </w:r>
          </w:p>
          <w:p w14:paraId="66DA1480" w14:textId="62FBC984" w:rsidR="00F74426" w:rsidRPr="00AC57FB" w:rsidRDefault="004C5FB0" w:rsidP="00A8147F">
            <w:pPr>
              <w:spacing w:before="120" w:after="0"/>
              <w:jc w:val="center"/>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color w:val="000000"/>
                <w:sz w:val="18"/>
                <w:szCs w:val="18"/>
                <w:lang w:val="en-GB"/>
              </w:rPr>
              <w:t>Credit card</w:t>
            </w:r>
          </w:p>
        </w:tc>
        <w:tc>
          <w:tcPr>
            <w:tcW w:w="1418" w:type="dxa"/>
            <w:shd w:val="clear" w:color="auto" w:fill="auto"/>
            <w:vAlign w:val="center"/>
          </w:tcPr>
          <w:p w14:paraId="575160F1" w14:textId="631AE7B9" w:rsidR="00F74426" w:rsidRPr="00AC57FB" w:rsidRDefault="00F74426" w:rsidP="00A8147F">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0</w:t>
            </w:r>
            <w:r w:rsidR="004C5FB0">
              <w:rPr>
                <w:rFonts w:ascii="PermianSerifTypeface" w:eastAsia="Calibri" w:hAnsi="PermianSerifTypeface" w:cs="Times New Roman"/>
                <w:color w:val="000000"/>
                <w:sz w:val="18"/>
                <w:szCs w:val="18"/>
                <w:lang w:val="en-GB"/>
              </w:rPr>
              <w:t>.</w:t>
            </w:r>
            <w:r w:rsidRPr="00AC57FB">
              <w:rPr>
                <w:rFonts w:ascii="PermianSerifTypeface" w:eastAsia="Calibri" w:hAnsi="PermianSerifTypeface" w:cs="Times New Roman"/>
                <w:color w:val="000000"/>
                <w:sz w:val="18"/>
                <w:szCs w:val="18"/>
                <w:lang w:val="en-GB"/>
              </w:rPr>
              <w:t>50%</w:t>
            </w:r>
          </w:p>
        </w:tc>
        <w:tc>
          <w:tcPr>
            <w:tcW w:w="1275" w:type="dxa"/>
            <w:vAlign w:val="center"/>
          </w:tcPr>
          <w:p w14:paraId="6800F3B6" w14:textId="46BC7A31" w:rsidR="00F74426" w:rsidRPr="00AC57FB" w:rsidRDefault="00F74426" w:rsidP="00F74426">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 xml:space="preserve">1 </w:t>
            </w:r>
            <w:r w:rsidR="004C5FB0">
              <w:rPr>
                <w:rFonts w:ascii="PermianSerifTypeface" w:eastAsia="Calibri" w:hAnsi="PermianSerifTypeface" w:cs="Times New Roman"/>
                <w:color w:val="000000"/>
                <w:sz w:val="18"/>
                <w:szCs w:val="18"/>
                <w:lang w:val="en-GB"/>
              </w:rPr>
              <w:t>January</w:t>
            </w:r>
            <w:r w:rsidRPr="00AC57FB">
              <w:rPr>
                <w:rFonts w:ascii="PermianSerifTypeface" w:eastAsia="Calibri" w:hAnsi="PermianSerifTypeface" w:cs="Times New Roman"/>
                <w:color w:val="000000"/>
                <w:sz w:val="18"/>
                <w:szCs w:val="18"/>
                <w:lang w:val="en-GB"/>
              </w:rPr>
              <w:t xml:space="preserve"> 2020</w:t>
            </w:r>
          </w:p>
        </w:tc>
        <w:tc>
          <w:tcPr>
            <w:tcW w:w="2269" w:type="dxa"/>
            <w:shd w:val="clear" w:color="auto" w:fill="auto"/>
          </w:tcPr>
          <w:p w14:paraId="0792781E" w14:textId="46E57AC0" w:rsidR="00F74426" w:rsidRPr="00AC57FB" w:rsidRDefault="00AA7BBF" w:rsidP="00852022">
            <w:pPr>
              <w:spacing w:after="0"/>
              <w:jc w:val="both"/>
              <w:rPr>
                <w:rFonts w:ascii="PermianSerifTypeface" w:eastAsia="Calibri" w:hAnsi="PermianSerifTypeface" w:cs="Times New Roman"/>
                <w:color w:val="000000"/>
                <w:sz w:val="18"/>
                <w:szCs w:val="18"/>
                <w:lang w:val="en-GB"/>
              </w:rPr>
            </w:pPr>
            <w:r w:rsidRPr="00AA7BBF">
              <w:rPr>
                <w:rFonts w:ascii="PermianSerifTypeface" w:eastAsia="Calibri" w:hAnsi="PermianSerifTypeface" w:cs="Times New Roman"/>
                <w:color w:val="000000"/>
                <w:sz w:val="18"/>
                <w:szCs w:val="18"/>
                <w:lang w:val="en-GB"/>
              </w:rPr>
              <w:t>Operations for the component budgets of the national public budget</w:t>
            </w:r>
          </w:p>
        </w:tc>
      </w:tr>
    </w:tbl>
    <w:p w14:paraId="1BA0942C" w14:textId="77777777" w:rsidR="00770D4A" w:rsidRPr="00AC57FB" w:rsidRDefault="00770D4A">
      <w:pPr>
        <w:rPr>
          <w:lang w:val="en-GB"/>
        </w:rPr>
      </w:pPr>
    </w:p>
    <w:p w14:paraId="7AE3E3CA" w14:textId="602A7771" w:rsidR="00770D4A" w:rsidRPr="00AC57FB" w:rsidRDefault="00AA7BBF" w:rsidP="00770D4A">
      <w:pPr>
        <w:pStyle w:val="ListParagraph"/>
        <w:numPr>
          <w:ilvl w:val="0"/>
          <w:numId w:val="19"/>
        </w:numPr>
        <w:spacing w:after="240"/>
        <w:ind w:left="709" w:hanging="425"/>
        <w:jc w:val="both"/>
        <w:rPr>
          <w:rFonts w:ascii="PermianSerifTypeface" w:eastAsia="Calibri" w:hAnsi="PermianSerifTypeface" w:cs="Times New Roman"/>
          <w:lang w:val="en-GB" w:eastAsia="ru-RU"/>
        </w:rPr>
      </w:pPr>
      <w:r w:rsidRPr="00AA7BBF">
        <w:rPr>
          <w:rFonts w:ascii="PermianSerifTypeface" w:eastAsia="Calibri" w:hAnsi="PermianSerifTypeface" w:cs="Times New Roman"/>
          <w:lang w:val="en-GB" w:eastAsia="ru-RU"/>
        </w:rPr>
        <w:t xml:space="preserve">For determining the </w:t>
      </w:r>
      <w:r w:rsidR="00B10776">
        <w:rPr>
          <w:rFonts w:ascii="PermianSerifTypeface" w:eastAsia="Calibri" w:hAnsi="PermianSerifTypeface" w:cs="Times New Roman"/>
          <w:lang w:val="en-GB" w:eastAsia="ru-RU"/>
        </w:rPr>
        <w:t>amount</w:t>
      </w:r>
      <w:r w:rsidRPr="00AA7BBF">
        <w:rPr>
          <w:rFonts w:ascii="PermianSerifTypeface" w:eastAsia="Calibri" w:hAnsi="PermianSerifTypeface" w:cs="Times New Roman"/>
          <w:lang w:val="en-GB" w:eastAsia="ru-RU"/>
        </w:rPr>
        <w:t xml:space="preserve"> of interchange fees paid between the accepting provider and the issuing provider involved in a direct or indirect payment with a card, the conditions specified in the table below shall be considered:</w:t>
      </w:r>
    </w:p>
    <w:tbl>
      <w:tblPr>
        <w:tblW w:w="8656"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417"/>
        <w:gridCol w:w="1418"/>
        <w:gridCol w:w="1275"/>
        <w:gridCol w:w="2424"/>
      </w:tblGrid>
      <w:tr w:rsidR="004068B2" w:rsidRPr="00AC57FB" w14:paraId="7FD9B450" w14:textId="77777777" w:rsidTr="0044109D">
        <w:trPr>
          <w:tblHeader/>
        </w:trPr>
        <w:tc>
          <w:tcPr>
            <w:tcW w:w="562" w:type="dxa"/>
            <w:shd w:val="clear" w:color="auto" w:fill="D9D9D9"/>
            <w:vAlign w:val="center"/>
          </w:tcPr>
          <w:p w14:paraId="37A42114" w14:textId="08AD0432" w:rsidR="004068B2" w:rsidRPr="00AC57FB" w:rsidRDefault="004068B2" w:rsidP="007063E4">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b/>
                <w:color w:val="000000"/>
                <w:sz w:val="18"/>
                <w:szCs w:val="18"/>
                <w:lang w:val="en-GB"/>
              </w:rPr>
              <w:t>N</w:t>
            </w:r>
            <w:r w:rsidR="004C5FB0">
              <w:rPr>
                <w:rFonts w:ascii="PermianSerifTypeface" w:eastAsia="Calibri" w:hAnsi="PermianSerifTypeface" w:cs="Times New Roman"/>
                <w:b/>
                <w:color w:val="000000"/>
                <w:sz w:val="18"/>
                <w:szCs w:val="18"/>
                <w:lang w:val="en-GB"/>
              </w:rPr>
              <w:t>o</w:t>
            </w:r>
            <w:r w:rsidRPr="00AC57FB">
              <w:rPr>
                <w:rFonts w:ascii="PermianSerifTypeface" w:eastAsia="Calibri" w:hAnsi="PermianSerifTypeface" w:cs="Times New Roman"/>
                <w:b/>
                <w:color w:val="000000"/>
                <w:sz w:val="18"/>
                <w:szCs w:val="18"/>
                <w:lang w:val="en-GB"/>
              </w:rPr>
              <w:t xml:space="preserve"> </w:t>
            </w:r>
          </w:p>
        </w:tc>
        <w:tc>
          <w:tcPr>
            <w:tcW w:w="1560" w:type="dxa"/>
            <w:shd w:val="clear" w:color="auto" w:fill="D9D9D9"/>
            <w:vAlign w:val="center"/>
          </w:tcPr>
          <w:p w14:paraId="2E95D774" w14:textId="44D89885" w:rsidR="004068B2" w:rsidRPr="00AC57FB" w:rsidRDefault="004C5FB0" w:rsidP="007063E4">
            <w:pPr>
              <w:spacing w:after="0"/>
              <w:jc w:val="center"/>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b/>
                <w:color w:val="000000"/>
                <w:sz w:val="18"/>
                <w:szCs w:val="18"/>
                <w:lang w:val="en-GB"/>
              </w:rPr>
              <w:t>Types of fees</w:t>
            </w:r>
          </w:p>
        </w:tc>
        <w:tc>
          <w:tcPr>
            <w:tcW w:w="1417" w:type="dxa"/>
            <w:shd w:val="clear" w:color="auto" w:fill="D9D9D9"/>
            <w:vAlign w:val="center"/>
          </w:tcPr>
          <w:p w14:paraId="45775927" w14:textId="03C901DF" w:rsidR="004068B2" w:rsidRPr="00AC57FB" w:rsidRDefault="004C5FB0" w:rsidP="007063E4">
            <w:pPr>
              <w:spacing w:after="0"/>
              <w:jc w:val="center"/>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b/>
                <w:color w:val="000000"/>
                <w:sz w:val="18"/>
                <w:szCs w:val="18"/>
                <w:lang w:val="en-GB"/>
              </w:rPr>
              <w:t>Brand and/or category of payment card</w:t>
            </w:r>
          </w:p>
        </w:tc>
        <w:tc>
          <w:tcPr>
            <w:tcW w:w="1418" w:type="dxa"/>
            <w:shd w:val="clear" w:color="auto" w:fill="D9D9D9"/>
            <w:vAlign w:val="center"/>
          </w:tcPr>
          <w:p w14:paraId="0EA4091C" w14:textId="3EA6EF87" w:rsidR="004068B2" w:rsidRPr="00AC57FB" w:rsidRDefault="004C5FB0" w:rsidP="007063E4">
            <w:pPr>
              <w:spacing w:after="0"/>
              <w:jc w:val="center"/>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b/>
                <w:color w:val="000000"/>
                <w:sz w:val="18"/>
                <w:szCs w:val="18"/>
                <w:lang w:val="en-GB"/>
              </w:rPr>
              <w:t>Maximum amount of fee</w:t>
            </w:r>
          </w:p>
        </w:tc>
        <w:tc>
          <w:tcPr>
            <w:tcW w:w="1275" w:type="dxa"/>
            <w:shd w:val="clear" w:color="auto" w:fill="D9D9D9"/>
            <w:vAlign w:val="center"/>
          </w:tcPr>
          <w:p w14:paraId="45FE25C7" w14:textId="090C01F6" w:rsidR="004068B2" w:rsidRPr="00AC57FB" w:rsidRDefault="004C5FB0" w:rsidP="007063E4">
            <w:pPr>
              <w:spacing w:after="0"/>
              <w:jc w:val="center"/>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b/>
                <w:color w:val="000000"/>
                <w:sz w:val="18"/>
                <w:szCs w:val="18"/>
                <w:lang w:val="en-GB"/>
              </w:rPr>
              <w:t>Data of entry into force</w:t>
            </w:r>
          </w:p>
        </w:tc>
        <w:tc>
          <w:tcPr>
            <w:tcW w:w="2424" w:type="dxa"/>
            <w:shd w:val="clear" w:color="auto" w:fill="D9D9D9"/>
            <w:vAlign w:val="center"/>
          </w:tcPr>
          <w:p w14:paraId="41FC1C62" w14:textId="72553CB0" w:rsidR="004068B2" w:rsidRPr="00AC57FB" w:rsidRDefault="004068B2" w:rsidP="007063E4">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b/>
                <w:color w:val="000000"/>
                <w:sz w:val="18"/>
                <w:szCs w:val="18"/>
                <w:lang w:val="en-GB"/>
              </w:rPr>
              <w:t>Condi</w:t>
            </w:r>
            <w:r w:rsidR="004C5FB0">
              <w:rPr>
                <w:rFonts w:ascii="PermianSerifTypeface" w:eastAsia="Calibri" w:hAnsi="PermianSerifTypeface" w:cs="Times New Roman"/>
                <w:b/>
                <w:color w:val="000000"/>
                <w:sz w:val="18"/>
                <w:szCs w:val="18"/>
                <w:lang w:val="en-GB"/>
              </w:rPr>
              <w:t>tions</w:t>
            </w:r>
          </w:p>
        </w:tc>
      </w:tr>
      <w:tr w:rsidR="00A8147F" w:rsidRPr="00AC57FB" w14:paraId="4B71A11A" w14:textId="77777777" w:rsidTr="00A8147F">
        <w:trPr>
          <w:trHeight w:val="340"/>
          <w:tblHeader/>
        </w:trPr>
        <w:tc>
          <w:tcPr>
            <w:tcW w:w="562" w:type="dxa"/>
            <w:vMerge w:val="restart"/>
            <w:shd w:val="clear" w:color="auto" w:fill="auto"/>
            <w:vAlign w:val="center"/>
          </w:tcPr>
          <w:p w14:paraId="1C91FD34" w14:textId="560F71FD" w:rsidR="00A8147F" w:rsidRPr="00AC57FB" w:rsidRDefault="00A8147F" w:rsidP="004068B2">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1</w:t>
            </w:r>
          </w:p>
        </w:tc>
        <w:tc>
          <w:tcPr>
            <w:tcW w:w="1560" w:type="dxa"/>
            <w:vMerge w:val="restart"/>
            <w:vAlign w:val="center"/>
          </w:tcPr>
          <w:p w14:paraId="27AB64D2" w14:textId="55524019" w:rsidR="00A8147F" w:rsidRPr="00AC57FB" w:rsidRDefault="004C5FB0" w:rsidP="004068B2">
            <w:pPr>
              <w:spacing w:after="0"/>
              <w:jc w:val="both"/>
              <w:rPr>
                <w:rFonts w:ascii="PermianSerifTypeface" w:eastAsia="Calibri" w:hAnsi="PermianSerifTypeface" w:cs="Times New Roman"/>
                <w:color w:val="000000"/>
                <w:sz w:val="18"/>
                <w:szCs w:val="18"/>
                <w:lang w:val="en-GB"/>
              </w:rPr>
            </w:pPr>
            <w:r>
              <w:rPr>
                <w:rFonts w:ascii="PermianSerifTypeface" w:eastAsia="Calibri" w:hAnsi="PermianSerifTypeface" w:cs="Times New Roman"/>
                <w:color w:val="000000"/>
                <w:sz w:val="18"/>
                <w:szCs w:val="18"/>
                <w:lang w:val="en-GB"/>
              </w:rPr>
              <w:t>I</w:t>
            </w:r>
            <w:r w:rsidRPr="004C5FB0">
              <w:rPr>
                <w:rFonts w:ascii="PermianSerifTypeface" w:eastAsia="Calibri" w:hAnsi="PermianSerifTypeface" w:cs="Times New Roman"/>
                <w:color w:val="000000"/>
                <w:sz w:val="18"/>
                <w:szCs w:val="18"/>
                <w:lang w:val="en-GB"/>
              </w:rPr>
              <w:t>nterchange fee</w:t>
            </w:r>
          </w:p>
        </w:tc>
        <w:tc>
          <w:tcPr>
            <w:tcW w:w="1417" w:type="dxa"/>
            <w:tcBorders>
              <w:bottom w:val="dashed" w:sz="4" w:space="0" w:color="auto"/>
            </w:tcBorders>
            <w:vAlign w:val="center"/>
          </w:tcPr>
          <w:p w14:paraId="2F9F099E" w14:textId="36630BA2" w:rsidR="00A8147F" w:rsidRPr="00AC57FB" w:rsidRDefault="007A5385" w:rsidP="00A8147F">
            <w:pPr>
              <w:spacing w:after="0"/>
              <w:rPr>
                <w:rFonts w:ascii="PermianSerifTypeface" w:eastAsia="Calibri" w:hAnsi="PermianSerifTypeface" w:cs="Times New Roman"/>
                <w:color w:val="000000"/>
                <w:sz w:val="18"/>
                <w:szCs w:val="18"/>
                <w:lang w:val="en-GB"/>
              </w:rPr>
            </w:pPr>
            <w:r w:rsidRPr="007A5385">
              <w:rPr>
                <w:rFonts w:ascii="PermianSerifTypeface" w:eastAsia="Calibri" w:hAnsi="PermianSerifTypeface" w:cs="Times New Roman"/>
                <w:color w:val="000000"/>
                <w:sz w:val="18"/>
                <w:szCs w:val="18"/>
                <w:lang w:val="en-GB"/>
              </w:rPr>
              <w:t>Debit card</w:t>
            </w:r>
          </w:p>
        </w:tc>
        <w:tc>
          <w:tcPr>
            <w:tcW w:w="1418" w:type="dxa"/>
            <w:tcBorders>
              <w:bottom w:val="dashed" w:sz="4" w:space="0" w:color="auto"/>
            </w:tcBorders>
            <w:shd w:val="clear" w:color="auto" w:fill="auto"/>
            <w:vAlign w:val="center"/>
          </w:tcPr>
          <w:p w14:paraId="0340C9C5" w14:textId="06424D46" w:rsidR="00A8147F" w:rsidRPr="00AC57FB" w:rsidRDefault="00A8147F" w:rsidP="00A8147F">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1</w:t>
            </w:r>
            <w:r w:rsidR="004C5FB0">
              <w:rPr>
                <w:rFonts w:ascii="PermianSerifTypeface" w:eastAsia="Calibri" w:hAnsi="PermianSerifTypeface" w:cs="Times New Roman"/>
                <w:color w:val="000000"/>
                <w:sz w:val="18"/>
                <w:szCs w:val="18"/>
                <w:lang w:val="en-GB"/>
              </w:rPr>
              <w:t>.</w:t>
            </w:r>
            <w:r w:rsidR="00D46D50" w:rsidRPr="00AC57FB">
              <w:rPr>
                <w:rFonts w:ascii="PermianSerifTypeface" w:eastAsia="Calibri" w:hAnsi="PermianSerifTypeface" w:cs="Times New Roman"/>
                <w:color w:val="000000"/>
                <w:sz w:val="18"/>
                <w:szCs w:val="18"/>
                <w:lang w:val="en-GB"/>
              </w:rPr>
              <w:t>1</w:t>
            </w:r>
            <w:r w:rsidRPr="00AC57FB">
              <w:rPr>
                <w:rFonts w:ascii="PermianSerifTypeface" w:eastAsia="Calibri" w:hAnsi="PermianSerifTypeface" w:cs="Times New Roman"/>
                <w:color w:val="000000"/>
                <w:sz w:val="18"/>
                <w:szCs w:val="18"/>
                <w:lang w:val="en-GB"/>
              </w:rPr>
              <w:t>0%</w:t>
            </w:r>
          </w:p>
        </w:tc>
        <w:tc>
          <w:tcPr>
            <w:tcW w:w="1275" w:type="dxa"/>
            <w:vMerge w:val="restart"/>
            <w:vAlign w:val="center"/>
          </w:tcPr>
          <w:p w14:paraId="67893619" w14:textId="3CE1A5BA" w:rsidR="00A8147F" w:rsidRPr="00AC57FB" w:rsidRDefault="00A8147F" w:rsidP="004068B2">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 xml:space="preserve">1 </w:t>
            </w:r>
            <w:r w:rsidR="004C5FB0">
              <w:rPr>
                <w:rFonts w:ascii="PermianSerifTypeface" w:eastAsia="Calibri" w:hAnsi="PermianSerifTypeface" w:cs="Times New Roman"/>
                <w:color w:val="000000"/>
                <w:sz w:val="18"/>
                <w:szCs w:val="18"/>
                <w:lang w:val="en-GB"/>
              </w:rPr>
              <w:t>January</w:t>
            </w:r>
            <w:r w:rsidRPr="00AC57FB">
              <w:rPr>
                <w:rFonts w:ascii="PermianSerifTypeface" w:eastAsia="Calibri" w:hAnsi="PermianSerifTypeface" w:cs="Times New Roman"/>
                <w:color w:val="000000"/>
                <w:sz w:val="18"/>
                <w:szCs w:val="18"/>
                <w:lang w:val="en-GB"/>
              </w:rPr>
              <w:t xml:space="preserve"> 202</w:t>
            </w:r>
            <w:r w:rsidR="004F6BD0" w:rsidRPr="00AC57FB">
              <w:rPr>
                <w:rFonts w:ascii="PermianSerifTypeface" w:eastAsia="Calibri" w:hAnsi="PermianSerifTypeface" w:cs="Times New Roman"/>
                <w:color w:val="000000"/>
                <w:sz w:val="18"/>
                <w:szCs w:val="18"/>
                <w:lang w:val="en-GB"/>
              </w:rPr>
              <w:t>4</w:t>
            </w:r>
          </w:p>
        </w:tc>
        <w:tc>
          <w:tcPr>
            <w:tcW w:w="2424" w:type="dxa"/>
            <w:vMerge w:val="restart"/>
            <w:shd w:val="clear" w:color="auto" w:fill="auto"/>
            <w:vAlign w:val="center"/>
          </w:tcPr>
          <w:p w14:paraId="0F6FCD04" w14:textId="007FCCBE" w:rsidR="00B10776" w:rsidRDefault="00B10776" w:rsidP="00B10776">
            <w:pPr>
              <w:spacing w:after="0"/>
              <w:jc w:val="center"/>
              <w:rPr>
                <w:rFonts w:ascii="PermianSerifTypeface" w:eastAsia="Calibri" w:hAnsi="PermianSerifTypeface" w:cs="Times New Roman"/>
                <w:color w:val="000000"/>
                <w:sz w:val="18"/>
                <w:szCs w:val="18"/>
                <w:lang w:val="en-GB"/>
              </w:rPr>
            </w:pPr>
            <w:r w:rsidRPr="00B10776">
              <w:rPr>
                <w:rFonts w:ascii="PermianSerifTypeface" w:eastAsia="Calibri" w:hAnsi="PermianSerifTypeface" w:cs="Times New Roman"/>
                <w:color w:val="000000"/>
                <w:sz w:val="18"/>
                <w:szCs w:val="18"/>
                <w:lang w:val="en-GB"/>
              </w:rPr>
              <w:t xml:space="preserve">Operations carried out in the </w:t>
            </w:r>
            <w:r>
              <w:rPr>
                <w:rFonts w:ascii="PermianSerifTypeface" w:eastAsia="Calibri" w:hAnsi="PermianSerifTypeface" w:cs="Times New Roman"/>
                <w:color w:val="000000"/>
                <w:sz w:val="18"/>
                <w:szCs w:val="18"/>
                <w:lang w:val="en-GB"/>
              </w:rPr>
              <w:t>natural</w:t>
            </w:r>
            <w:r w:rsidRPr="00B10776">
              <w:rPr>
                <w:rFonts w:ascii="PermianSerifTypeface" w:eastAsia="Calibri" w:hAnsi="PermianSerifTypeface" w:cs="Times New Roman"/>
                <w:color w:val="000000"/>
                <w:sz w:val="18"/>
                <w:szCs w:val="18"/>
                <w:lang w:val="en-GB"/>
              </w:rPr>
              <w:t xml:space="preserve"> environment and/or within</w:t>
            </w:r>
          </w:p>
          <w:p w14:paraId="15ED4B62" w14:textId="2D4A1E0E" w:rsidR="00A8147F" w:rsidRPr="00AC57FB" w:rsidRDefault="00B10776" w:rsidP="00B10776">
            <w:pPr>
              <w:spacing w:after="0"/>
              <w:jc w:val="center"/>
              <w:rPr>
                <w:rFonts w:ascii="PermianSerifTypeface" w:eastAsia="Calibri" w:hAnsi="PermianSerifTypeface" w:cs="Times New Roman"/>
                <w:color w:val="000000"/>
                <w:sz w:val="18"/>
                <w:szCs w:val="18"/>
                <w:lang w:val="en-GB"/>
              </w:rPr>
            </w:pPr>
            <w:r w:rsidRPr="00B10776">
              <w:rPr>
                <w:rFonts w:ascii="PermianSerifTypeface" w:eastAsia="Calibri" w:hAnsi="PermianSerifTypeface" w:cs="Times New Roman"/>
                <w:color w:val="000000"/>
                <w:sz w:val="18"/>
                <w:szCs w:val="18"/>
                <w:lang w:val="en-GB"/>
              </w:rPr>
              <w:t>e</w:t>
            </w:r>
            <w:r>
              <w:rPr>
                <w:rFonts w:ascii="PermianSerifTypeface" w:eastAsia="Calibri" w:hAnsi="PermianSerifTypeface" w:cs="Times New Roman"/>
                <w:color w:val="000000"/>
                <w:sz w:val="18"/>
                <w:szCs w:val="18"/>
                <w:lang w:val="en-GB"/>
              </w:rPr>
              <w:t>-</w:t>
            </w:r>
            <w:r w:rsidRPr="00B10776">
              <w:rPr>
                <w:rFonts w:ascii="PermianSerifTypeface" w:eastAsia="Calibri" w:hAnsi="PermianSerifTypeface" w:cs="Times New Roman"/>
                <w:color w:val="000000"/>
                <w:sz w:val="18"/>
                <w:szCs w:val="18"/>
                <w:lang w:val="en-GB"/>
              </w:rPr>
              <w:t>commerce</w:t>
            </w:r>
          </w:p>
        </w:tc>
      </w:tr>
      <w:tr w:rsidR="00A8147F" w:rsidRPr="00AC57FB" w14:paraId="596E7952" w14:textId="77777777" w:rsidTr="00A8147F">
        <w:trPr>
          <w:trHeight w:val="340"/>
          <w:tblHeader/>
        </w:trPr>
        <w:tc>
          <w:tcPr>
            <w:tcW w:w="562" w:type="dxa"/>
            <w:vMerge/>
            <w:shd w:val="clear" w:color="auto" w:fill="auto"/>
            <w:vAlign w:val="center"/>
          </w:tcPr>
          <w:p w14:paraId="74606D2E" w14:textId="77777777" w:rsidR="00A8147F" w:rsidRPr="00AC57FB" w:rsidDel="00770D4A" w:rsidRDefault="00A8147F" w:rsidP="004068B2">
            <w:pPr>
              <w:spacing w:after="0"/>
              <w:jc w:val="center"/>
              <w:rPr>
                <w:rFonts w:ascii="PermianSerifTypeface" w:eastAsia="Calibri" w:hAnsi="PermianSerifTypeface" w:cs="Times New Roman"/>
                <w:color w:val="000000"/>
                <w:sz w:val="18"/>
                <w:szCs w:val="18"/>
                <w:lang w:val="en-GB"/>
              </w:rPr>
            </w:pPr>
          </w:p>
        </w:tc>
        <w:tc>
          <w:tcPr>
            <w:tcW w:w="1560" w:type="dxa"/>
            <w:vMerge/>
            <w:vAlign w:val="center"/>
          </w:tcPr>
          <w:p w14:paraId="32497526" w14:textId="77777777" w:rsidR="00A8147F" w:rsidRPr="00AC57FB" w:rsidRDefault="00A8147F" w:rsidP="004068B2">
            <w:pPr>
              <w:spacing w:after="0"/>
              <w:jc w:val="both"/>
              <w:rPr>
                <w:rFonts w:ascii="PermianSerifTypeface" w:eastAsia="Calibri" w:hAnsi="PermianSerifTypeface" w:cs="Times New Roman"/>
                <w:color w:val="000000"/>
                <w:sz w:val="18"/>
                <w:szCs w:val="18"/>
                <w:lang w:val="en-GB"/>
              </w:rPr>
            </w:pPr>
          </w:p>
        </w:tc>
        <w:tc>
          <w:tcPr>
            <w:tcW w:w="1417" w:type="dxa"/>
            <w:tcBorders>
              <w:top w:val="dashed" w:sz="4" w:space="0" w:color="auto"/>
            </w:tcBorders>
            <w:vAlign w:val="center"/>
          </w:tcPr>
          <w:p w14:paraId="471FFAF6" w14:textId="27577B1D" w:rsidR="00A8147F" w:rsidRPr="00AC57FB" w:rsidRDefault="004C5FB0" w:rsidP="00A8147F">
            <w:pPr>
              <w:spacing w:after="0"/>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color w:val="000000"/>
                <w:sz w:val="18"/>
                <w:szCs w:val="18"/>
                <w:lang w:val="en-GB"/>
              </w:rPr>
              <w:t>Credit card</w:t>
            </w:r>
          </w:p>
        </w:tc>
        <w:tc>
          <w:tcPr>
            <w:tcW w:w="1418" w:type="dxa"/>
            <w:tcBorders>
              <w:top w:val="dashed" w:sz="4" w:space="0" w:color="auto"/>
            </w:tcBorders>
            <w:shd w:val="clear" w:color="auto" w:fill="auto"/>
            <w:vAlign w:val="center"/>
          </w:tcPr>
          <w:p w14:paraId="30EB8623" w14:textId="341C3586" w:rsidR="00A8147F" w:rsidRPr="00AC57FB" w:rsidRDefault="00A8147F" w:rsidP="00A8147F">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1</w:t>
            </w:r>
            <w:r w:rsidR="004C5FB0">
              <w:rPr>
                <w:rFonts w:ascii="PermianSerifTypeface" w:eastAsia="Calibri" w:hAnsi="PermianSerifTypeface" w:cs="Times New Roman"/>
                <w:color w:val="000000"/>
                <w:sz w:val="18"/>
                <w:szCs w:val="18"/>
                <w:lang w:val="en-GB"/>
              </w:rPr>
              <w:t>.</w:t>
            </w:r>
            <w:r w:rsidR="00D46D50" w:rsidRPr="00AC57FB">
              <w:rPr>
                <w:rFonts w:ascii="PermianSerifTypeface" w:eastAsia="Calibri" w:hAnsi="PermianSerifTypeface" w:cs="Times New Roman"/>
                <w:color w:val="000000"/>
                <w:sz w:val="18"/>
                <w:szCs w:val="18"/>
                <w:lang w:val="en-GB"/>
              </w:rPr>
              <w:t>2</w:t>
            </w:r>
            <w:r w:rsidRPr="00AC57FB">
              <w:rPr>
                <w:rFonts w:ascii="PermianSerifTypeface" w:eastAsia="Calibri" w:hAnsi="PermianSerifTypeface" w:cs="Times New Roman"/>
                <w:color w:val="000000"/>
                <w:sz w:val="18"/>
                <w:szCs w:val="18"/>
                <w:lang w:val="en-GB"/>
              </w:rPr>
              <w:t>0%</w:t>
            </w:r>
          </w:p>
        </w:tc>
        <w:tc>
          <w:tcPr>
            <w:tcW w:w="1275" w:type="dxa"/>
            <w:vMerge/>
            <w:vAlign w:val="center"/>
          </w:tcPr>
          <w:p w14:paraId="5685AD3A"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2424" w:type="dxa"/>
            <w:vMerge/>
            <w:shd w:val="clear" w:color="auto" w:fill="auto"/>
            <w:vAlign w:val="center"/>
          </w:tcPr>
          <w:p w14:paraId="615372F8" w14:textId="77777777" w:rsidR="00A8147F" w:rsidRPr="00AC57FB" w:rsidRDefault="00A8147F" w:rsidP="00770D4A">
            <w:pPr>
              <w:spacing w:after="0"/>
              <w:rPr>
                <w:rFonts w:ascii="PermianSerifTypeface" w:eastAsia="Calibri" w:hAnsi="PermianSerifTypeface" w:cs="Times New Roman"/>
                <w:color w:val="000000"/>
                <w:sz w:val="18"/>
                <w:szCs w:val="18"/>
                <w:lang w:val="en-GB"/>
              </w:rPr>
            </w:pPr>
          </w:p>
        </w:tc>
      </w:tr>
      <w:tr w:rsidR="00A8147F" w:rsidRPr="00AC57FB" w14:paraId="31CAA500" w14:textId="77777777" w:rsidTr="00A8147F">
        <w:trPr>
          <w:trHeight w:val="340"/>
          <w:tblHeader/>
        </w:trPr>
        <w:tc>
          <w:tcPr>
            <w:tcW w:w="562" w:type="dxa"/>
            <w:vMerge w:val="restart"/>
            <w:shd w:val="clear" w:color="auto" w:fill="auto"/>
            <w:vAlign w:val="center"/>
          </w:tcPr>
          <w:p w14:paraId="613E4C9E" w14:textId="2FE9C055" w:rsidR="00A8147F" w:rsidRPr="00AC57FB" w:rsidRDefault="00A8147F" w:rsidP="004068B2">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2</w:t>
            </w:r>
          </w:p>
        </w:tc>
        <w:tc>
          <w:tcPr>
            <w:tcW w:w="1560" w:type="dxa"/>
            <w:vMerge/>
          </w:tcPr>
          <w:p w14:paraId="2E0E3200" w14:textId="33063A86"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1417" w:type="dxa"/>
            <w:tcBorders>
              <w:bottom w:val="dashed" w:sz="4" w:space="0" w:color="auto"/>
            </w:tcBorders>
            <w:vAlign w:val="center"/>
          </w:tcPr>
          <w:p w14:paraId="38FC4BE3" w14:textId="16A99789" w:rsidR="00A8147F" w:rsidRPr="00AC57FB" w:rsidRDefault="007A5385" w:rsidP="00A8147F">
            <w:pPr>
              <w:spacing w:after="0"/>
              <w:rPr>
                <w:rFonts w:ascii="PermianSerifTypeface" w:eastAsia="Calibri" w:hAnsi="PermianSerifTypeface" w:cs="Times New Roman"/>
                <w:color w:val="000000"/>
                <w:sz w:val="18"/>
                <w:szCs w:val="18"/>
                <w:lang w:val="en-GB"/>
              </w:rPr>
            </w:pPr>
            <w:r w:rsidRPr="007A5385">
              <w:rPr>
                <w:rFonts w:ascii="PermianSerifTypeface" w:eastAsia="Calibri" w:hAnsi="PermianSerifTypeface" w:cs="Times New Roman"/>
                <w:color w:val="000000"/>
                <w:sz w:val="18"/>
                <w:szCs w:val="18"/>
                <w:lang w:val="en-GB"/>
              </w:rPr>
              <w:t>Debit card</w:t>
            </w:r>
          </w:p>
        </w:tc>
        <w:tc>
          <w:tcPr>
            <w:tcW w:w="1418" w:type="dxa"/>
            <w:tcBorders>
              <w:bottom w:val="dashed" w:sz="4" w:space="0" w:color="auto"/>
            </w:tcBorders>
            <w:shd w:val="clear" w:color="auto" w:fill="auto"/>
            <w:vAlign w:val="center"/>
          </w:tcPr>
          <w:p w14:paraId="41F819EF" w14:textId="66DD1CA5" w:rsidR="00A8147F" w:rsidRPr="00AC57FB" w:rsidRDefault="00A8147F" w:rsidP="00A8147F">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0</w:t>
            </w:r>
            <w:r w:rsidR="004C5FB0">
              <w:rPr>
                <w:rFonts w:ascii="PermianSerifTypeface" w:eastAsia="Calibri" w:hAnsi="PermianSerifTypeface" w:cs="Times New Roman"/>
                <w:color w:val="000000"/>
                <w:sz w:val="18"/>
                <w:szCs w:val="18"/>
                <w:lang w:val="en-GB"/>
              </w:rPr>
              <w:t>.</w:t>
            </w:r>
            <w:r w:rsidR="004F6BD0" w:rsidRPr="00AC57FB">
              <w:rPr>
                <w:rFonts w:ascii="PermianSerifTypeface" w:eastAsia="Calibri" w:hAnsi="PermianSerifTypeface" w:cs="Times New Roman"/>
                <w:color w:val="000000"/>
                <w:sz w:val="18"/>
                <w:szCs w:val="18"/>
                <w:lang w:val="en-GB"/>
              </w:rPr>
              <w:t>80</w:t>
            </w:r>
            <w:r w:rsidRPr="00AC57FB">
              <w:rPr>
                <w:rFonts w:ascii="PermianSerifTypeface" w:eastAsia="Calibri" w:hAnsi="PermianSerifTypeface" w:cs="Times New Roman"/>
                <w:color w:val="000000"/>
                <w:sz w:val="18"/>
                <w:szCs w:val="18"/>
                <w:lang w:val="en-GB"/>
              </w:rPr>
              <w:t>%</w:t>
            </w:r>
          </w:p>
        </w:tc>
        <w:tc>
          <w:tcPr>
            <w:tcW w:w="1275" w:type="dxa"/>
            <w:vMerge w:val="restart"/>
            <w:vAlign w:val="center"/>
          </w:tcPr>
          <w:p w14:paraId="6607B0D3" w14:textId="2FFBD967" w:rsidR="00A8147F" w:rsidRPr="00AC57FB" w:rsidRDefault="00A8147F" w:rsidP="004068B2">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 xml:space="preserve">1 </w:t>
            </w:r>
            <w:r w:rsidR="004C5FB0">
              <w:rPr>
                <w:rFonts w:ascii="PermianSerifTypeface" w:eastAsia="Calibri" w:hAnsi="PermianSerifTypeface" w:cs="Times New Roman"/>
                <w:color w:val="000000"/>
                <w:sz w:val="18"/>
                <w:szCs w:val="18"/>
                <w:lang w:val="en-GB"/>
              </w:rPr>
              <w:t>S</w:t>
            </w:r>
            <w:r w:rsidRPr="00AC57FB">
              <w:rPr>
                <w:rFonts w:ascii="PermianSerifTypeface" w:eastAsia="Calibri" w:hAnsi="PermianSerifTypeface" w:cs="Times New Roman"/>
                <w:color w:val="000000"/>
                <w:sz w:val="18"/>
                <w:szCs w:val="18"/>
                <w:lang w:val="en-GB"/>
              </w:rPr>
              <w:t>eptembe</w:t>
            </w:r>
            <w:r w:rsidR="004C5FB0">
              <w:rPr>
                <w:rFonts w:ascii="PermianSerifTypeface" w:eastAsia="Calibri" w:hAnsi="PermianSerifTypeface" w:cs="Times New Roman"/>
                <w:color w:val="000000"/>
                <w:sz w:val="18"/>
                <w:szCs w:val="18"/>
                <w:lang w:val="en-GB"/>
              </w:rPr>
              <w:t>r</w:t>
            </w:r>
            <w:r w:rsidRPr="00AC57FB">
              <w:rPr>
                <w:rFonts w:ascii="PermianSerifTypeface" w:eastAsia="Calibri" w:hAnsi="PermianSerifTypeface" w:cs="Times New Roman"/>
                <w:color w:val="000000"/>
                <w:sz w:val="18"/>
                <w:szCs w:val="18"/>
                <w:lang w:val="en-GB"/>
              </w:rPr>
              <w:t xml:space="preserve"> 202</w:t>
            </w:r>
            <w:r w:rsidR="00AF5BA0" w:rsidRPr="00AC57FB">
              <w:rPr>
                <w:rFonts w:ascii="PermianSerifTypeface" w:eastAsia="Calibri" w:hAnsi="PermianSerifTypeface" w:cs="Times New Roman"/>
                <w:color w:val="000000"/>
                <w:sz w:val="18"/>
                <w:szCs w:val="18"/>
                <w:lang w:val="en-GB"/>
              </w:rPr>
              <w:t>4</w:t>
            </w:r>
          </w:p>
        </w:tc>
        <w:tc>
          <w:tcPr>
            <w:tcW w:w="2424" w:type="dxa"/>
            <w:vMerge/>
            <w:shd w:val="clear" w:color="auto" w:fill="auto"/>
          </w:tcPr>
          <w:p w14:paraId="50178809" w14:textId="7DD80A11"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r>
      <w:tr w:rsidR="00A8147F" w:rsidRPr="00AC57FB" w14:paraId="6DC0417C" w14:textId="77777777" w:rsidTr="00A8147F">
        <w:trPr>
          <w:trHeight w:val="340"/>
          <w:tblHeader/>
        </w:trPr>
        <w:tc>
          <w:tcPr>
            <w:tcW w:w="562" w:type="dxa"/>
            <w:vMerge/>
            <w:shd w:val="clear" w:color="auto" w:fill="auto"/>
            <w:vAlign w:val="center"/>
          </w:tcPr>
          <w:p w14:paraId="71C8775D"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1560" w:type="dxa"/>
            <w:vMerge/>
          </w:tcPr>
          <w:p w14:paraId="329830AF"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1417" w:type="dxa"/>
            <w:tcBorders>
              <w:top w:val="dashed" w:sz="4" w:space="0" w:color="auto"/>
            </w:tcBorders>
            <w:vAlign w:val="center"/>
          </w:tcPr>
          <w:p w14:paraId="139073D5" w14:textId="5A12703A" w:rsidR="00A8147F" w:rsidRPr="00AC57FB" w:rsidRDefault="004C5FB0" w:rsidP="00A8147F">
            <w:pPr>
              <w:spacing w:after="0"/>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color w:val="000000"/>
                <w:sz w:val="18"/>
                <w:szCs w:val="18"/>
                <w:lang w:val="en-GB"/>
              </w:rPr>
              <w:t>Credit card</w:t>
            </w:r>
          </w:p>
        </w:tc>
        <w:tc>
          <w:tcPr>
            <w:tcW w:w="1418" w:type="dxa"/>
            <w:tcBorders>
              <w:top w:val="dashed" w:sz="4" w:space="0" w:color="auto"/>
            </w:tcBorders>
            <w:shd w:val="clear" w:color="auto" w:fill="auto"/>
            <w:vAlign w:val="center"/>
          </w:tcPr>
          <w:p w14:paraId="27B86615" w14:textId="75B2B63B" w:rsidR="00A8147F" w:rsidRPr="00AC57FB" w:rsidRDefault="00A8147F" w:rsidP="00A8147F">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0</w:t>
            </w:r>
            <w:r w:rsidR="004C5FB0">
              <w:rPr>
                <w:rFonts w:ascii="PermianSerifTypeface" w:eastAsia="Calibri" w:hAnsi="PermianSerifTypeface" w:cs="Times New Roman"/>
                <w:color w:val="000000"/>
                <w:sz w:val="18"/>
                <w:szCs w:val="18"/>
                <w:lang w:val="en-GB"/>
              </w:rPr>
              <w:t>.</w:t>
            </w:r>
            <w:r w:rsidR="004F6BD0" w:rsidRPr="00AC57FB">
              <w:rPr>
                <w:rFonts w:ascii="PermianSerifTypeface" w:eastAsia="Calibri" w:hAnsi="PermianSerifTypeface" w:cs="Times New Roman"/>
                <w:color w:val="000000"/>
                <w:sz w:val="18"/>
                <w:szCs w:val="18"/>
                <w:lang w:val="en-GB"/>
              </w:rPr>
              <w:t>90</w:t>
            </w:r>
            <w:r w:rsidRPr="00AC57FB">
              <w:rPr>
                <w:rFonts w:ascii="PermianSerifTypeface" w:eastAsia="Calibri" w:hAnsi="PermianSerifTypeface" w:cs="Times New Roman"/>
                <w:color w:val="000000"/>
                <w:sz w:val="18"/>
                <w:szCs w:val="18"/>
                <w:lang w:val="en-GB"/>
              </w:rPr>
              <w:t>%</w:t>
            </w:r>
          </w:p>
        </w:tc>
        <w:tc>
          <w:tcPr>
            <w:tcW w:w="1275" w:type="dxa"/>
            <w:vMerge/>
            <w:vAlign w:val="center"/>
          </w:tcPr>
          <w:p w14:paraId="6830F3D7"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2424" w:type="dxa"/>
            <w:vMerge/>
            <w:shd w:val="clear" w:color="auto" w:fill="auto"/>
          </w:tcPr>
          <w:p w14:paraId="3907727F"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r>
      <w:tr w:rsidR="00A8147F" w:rsidRPr="00AC57FB" w14:paraId="38EB1D56" w14:textId="77777777" w:rsidTr="00A8147F">
        <w:trPr>
          <w:trHeight w:val="340"/>
          <w:tblHeader/>
        </w:trPr>
        <w:tc>
          <w:tcPr>
            <w:tcW w:w="562" w:type="dxa"/>
            <w:vMerge w:val="restart"/>
            <w:shd w:val="clear" w:color="auto" w:fill="auto"/>
            <w:vAlign w:val="center"/>
          </w:tcPr>
          <w:p w14:paraId="4628C1C6" w14:textId="56FB3ABB" w:rsidR="00A8147F" w:rsidRPr="00AC57FB" w:rsidRDefault="00A8147F" w:rsidP="004068B2">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3</w:t>
            </w:r>
          </w:p>
        </w:tc>
        <w:tc>
          <w:tcPr>
            <w:tcW w:w="1560" w:type="dxa"/>
            <w:vMerge/>
          </w:tcPr>
          <w:p w14:paraId="47944144" w14:textId="43B419DC"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1417" w:type="dxa"/>
            <w:tcBorders>
              <w:bottom w:val="dashed" w:sz="4" w:space="0" w:color="auto"/>
            </w:tcBorders>
            <w:vAlign w:val="center"/>
          </w:tcPr>
          <w:p w14:paraId="02E4E23E" w14:textId="15BF6A34" w:rsidR="00A8147F" w:rsidRPr="00AC57FB" w:rsidRDefault="004C5FB0" w:rsidP="00A8147F">
            <w:pPr>
              <w:spacing w:after="0"/>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color w:val="000000"/>
                <w:sz w:val="18"/>
                <w:szCs w:val="18"/>
                <w:lang w:val="en-GB"/>
              </w:rPr>
              <w:t>Debit card</w:t>
            </w:r>
          </w:p>
        </w:tc>
        <w:tc>
          <w:tcPr>
            <w:tcW w:w="1418" w:type="dxa"/>
            <w:tcBorders>
              <w:bottom w:val="dashed" w:sz="4" w:space="0" w:color="auto"/>
            </w:tcBorders>
            <w:shd w:val="clear" w:color="auto" w:fill="auto"/>
            <w:vAlign w:val="center"/>
          </w:tcPr>
          <w:p w14:paraId="21C81E72" w14:textId="2053C12B" w:rsidR="00A8147F" w:rsidRPr="00AC57FB" w:rsidRDefault="00A8147F" w:rsidP="00A8147F">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0</w:t>
            </w:r>
            <w:r w:rsidR="004C5FB0">
              <w:rPr>
                <w:rFonts w:ascii="PermianSerifTypeface" w:eastAsia="Calibri" w:hAnsi="PermianSerifTypeface" w:cs="Times New Roman"/>
                <w:color w:val="000000"/>
                <w:sz w:val="18"/>
                <w:szCs w:val="18"/>
                <w:lang w:val="en-GB"/>
              </w:rPr>
              <w:t>.</w:t>
            </w:r>
            <w:r w:rsidRPr="00AC57FB">
              <w:rPr>
                <w:rFonts w:ascii="PermianSerifTypeface" w:eastAsia="Calibri" w:hAnsi="PermianSerifTypeface" w:cs="Times New Roman"/>
                <w:color w:val="000000"/>
                <w:sz w:val="18"/>
                <w:szCs w:val="18"/>
                <w:lang w:val="en-GB"/>
              </w:rPr>
              <w:t>50%</w:t>
            </w:r>
          </w:p>
        </w:tc>
        <w:tc>
          <w:tcPr>
            <w:tcW w:w="1275" w:type="dxa"/>
            <w:vMerge w:val="restart"/>
            <w:vAlign w:val="center"/>
          </w:tcPr>
          <w:p w14:paraId="62C2CC0E" w14:textId="77777777" w:rsidR="004C5FB0" w:rsidRDefault="00A8147F" w:rsidP="004068B2">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 xml:space="preserve">1 </w:t>
            </w:r>
            <w:r w:rsidR="004C5FB0">
              <w:rPr>
                <w:rFonts w:ascii="PermianSerifTypeface" w:eastAsia="Calibri" w:hAnsi="PermianSerifTypeface" w:cs="Times New Roman"/>
                <w:color w:val="000000"/>
                <w:sz w:val="18"/>
                <w:szCs w:val="18"/>
                <w:lang w:val="en-GB"/>
              </w:rPr>
              <w:t>September</w:t>
            </w:r>
          </w:p>
          <w:p w14:paraId="1544BE8E" w14:textId="57C2AF10" w:rsidR="00A8147F" w:rsidRPr="00AC57FB" w:rsidRDefault="00A8147F" w:rsidP="004068B2">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202</w:t>
            </w:r>
            <w:r w:rsidR="00AF5BA0" w:rsidRPr="00AC57FB">
              <w:rPr>
                <w:rFonts w:ascii="PermianSerifTypeface" w:eastAsia="Calibri" w:hAnsi="PermianSerifTypeface" w:cs="Times New Roman"/>
                <w:color w:val="000000"/>
                <w:sz w:val="18"/>
                <w:szCs w:val="18"/>
                <w:lang w:val="en-GB"/>
              </w:rPr>
              <w:t>5</w:t>
            </w:r>
          </w:p>
        </w:tc>
        <w:tc>
          <w:tcPr>
            <w:tcW w:w="2424" w:type="dxa"/>
            <w:vMerge/>
            <w:shd w:val="clear" w:color="auto" w:fill="auto"/>
          </w:tcPr>
          <w:p w14:paraId="094F0E7A" w14:textId="19733F6C"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r>
      <w:tr w:rsidR="00A8147F" w:rsidRPr="00AC57FB" w14:paraId="153A5757" w14:textId="77777777" w:rsidTr="00A8147F">
        <w:trPr>
          <w:trHeight w:val="340"/>
          <w:tblHeader/>
        </w:trPr>
        <w:tc>
          <w:tcPr>
            <w:tcW w:w="562" w:type="dxa"/>
            <w:vMerge/>
            <w:shd w:val="clear" w:color="auto" w:fill="auto"/>
            <w:vAlign w:val="center"/>
          </w:tcPr>
          <w:p w14:paraId="5CA52C6F"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1560" w:type="dxa"/>
            <w:vMerge/>
          </w:tcPr>
          <w:p w14:paraId="47A67D68"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1417" w:type="dxa"/>
            <w:tcBorders>
              <w:top w:val="dashed" w:sz="4" w:space="0" w:color="auto"/>
            </w:tcBorders>
            <w:vAlign w:val="center"/>
          </w:tcPr>
          <w:p w14:paraId="5925EBE0" w14:textId="64C71F9B" w:rsidR="00A8147F" w:rsidRPr="00AC57FB" w:rsidRDefault="004C5FB0" w:rsidP="00A8147F">
            <w:pPr>
              <w:spacing w:after="40"/>
              <w:rPr>
                <w:rFonts w:ascii="PermianSerifTypeface" w:eastAsia="Calibri" w:hAnsi="PermianSerifTypeface" w:cs="Times New Roman"/>
                <w:color w:val="000000"/>
                <w:sz w:val="18"/>
                <w:szCs w:val="18"/>
                <w:lang w:val="en-GB"/>
              </w:rPr>
            </w:pPr>
            <w:r w:rsidRPr="004C5FB0">
              <w:rPr>
                <w:rFonts w:ascii="PermianSerifTypeface" w:eastAsia="Calibri" w:hAnsi="PermianSerifTypeface" w:cs="Times New Roman"/>
                <w:color w:val="000000"/>
                <w:sz w:val="18"/>
                <w:szCs w:val="18"/>
                <w:lang w:val="en-GB"/>
              </w:rPr>
              <w:t>Credit card</w:t>
            </w:r>
          </w:p>
        </w:tc>
        <w:tc>
          <w:tcPr>
            <w:tcW w:w="1418" w:type="dxa"/>
            <w:tcBorders>
              <w:top w:val="dashed" w:sz="4" w:space="0" w:color="auto"/>
            </w:tcBorders>
            <w:shd w:val="clear" w:color="auto" w:fill="auto"/>
            <w:vAlign w:val="center"/>
          </w:tcPr>
          <w:p w14:paraId="1ED6DC33" w14:textId="006BF79E" w:rsidR="00A8147F" w:rsidRPr="00AC57FB" w:rsidRDefault="00A8147F" w:rsidP="00A8147F">
            <w:pPr>
              <w:spacing w:after="0"/>
              <w:jc w:val="center"/>
              <w:rPr>
                <w:rFonts w:ascii="PermianSerifTypeface" w:eastAsia="Calibri" w:hAnsi="PermianSerifTypeface" w:cs="Times New Roman"/>
                <w:color w:val="000000"/>
                <w:sz w:val="18"/>
                <w:szCs w:val="18"/>
                <w:lang w:val="en-GB"/>
              </w:rPr>
            </w:pPr>
            <w:r w:rsidRPr="00AC57FB">
              <w:rPr>
                <w:rFonts w:ascii="PermianSerifTypeface" w:eastAsia="Calibri" w:hAnsi="PermianSerifTypeface" w:cs="Times New Roman"/>
                <w:color w:val="000000"/>
                <w:sz w:val="18"/>
                <w:szCs w:val="18"/>
                <w:lang w:val="en-GB"/>
              </w:rPr>
              <w:t>0</w:t>
            </w:r>
            <w:r w:rsidR="004C5FB0">
              <w:rPr>
                <w:rFonts w:ascii="PermianSerifTypeface" w:eastAsia="Calibri" w:hAnsi="PermianSerifTypeface" w:cs="Times New Roman"/>
                <w:color w:val="000000"/>
                <w:sz w:val="18"/>
                <w:szCs w:val="18"/>
                <w:lang w:val="en-GB"/>
              </w:rPr>
              <w:t>.</w:t>
            </w:r>
            <w:r w:rsidRPr="00AC57FB">
              <w:rPr>
                <w:rFonts w:ascii="PermianSerifTypeface" w:eastAsia="Calibri" w:hAnsi="PermianSerifTypeface" w:cs="Times New Roman"/>
                <w:color w:val="000000"/>
                <w:sz w:val="18"/>
                <w:szCs w:val="18"/>
                <w:lang w:val="en-GB"/>
              </w:rPr>
              <w:t>60%</w:t>
            </w:r>
          </w:p>
        </w:tc>
        <w:tc>
          <w:tcPr>
            <w:tcW w:w="1275" w:type="dxa"/>
            <w:vMerge/>
            <w:vAlign w:val="center"/>
          </w:tcPr>
          <w:p w14:paraId="33CA529D"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c>
          <w:tcPr>
            <w:tcW w:w="2424" w:type="dxa"/>
            <w:vMerge/>
            <w:shd w:val="clear" w:color="auto" w:fill="auto"/>
          </w:tcPr>
          <w:p w14:paraId="73D032D0" w14:textId="77777777" w:rsidR="00A8147F" w:rsidRPr="00AC57FB" w:rsidRDefault="00A8147F" w:rsidP="004068B2">
            <w:pPr>
              <w:spacing w:after="0"/>
              <w:jc w:val="center"/>
              <w:rPr>
                <w:rFonts w:ascii="PermianSerifTypeface" w:eastAsia="Calibri" w:hAnsi="PermianSerifTypeface" w:cs="Times New Roman"/>
                <w:color w:val="000000"/>
                <w:sz w:val="18"/>
                <w:szCs w:val="18"/>
                <w:lang w:val="en-GB"/>
              </w:rPr>
            </w:pPr>
          </w:p>
        </w:tc>
      </w:tr>
    </w:tbl>
    <w:p w14:paraId="24FA032E" w14:textId="77777777" w:rsidR="00770D4A" w:rsidRPr="00AC57FB" w:rsidRDefault="00770D4A" w:rsidP="00770D4A">
      <w:pPr>
        <w:pStyle w:val="ListParagraph"/>
        <w:spacing w:after="240"/>
        <w:ind w:left="709"/>
        <w:jc w:val="both"/>
        <w:rPr>
          <w:rFonts w:ascii="PermianSerifTypeface" w:eastAsia="Calibri" w:hAnsi="PermianSerifTypeface" w:cs="Times New Roman"/>
          <w:lang w:val="en-GB" w:eastAsia="ru-RU"/>
        </w:rPr>
      </w:pPr>
    </w:p>
    <w:p w14:paraId="6B1130FF" w14:textId="69A4366E" w:rsidR="006A0959" w:rsidRPr="00AC57FB" w:rsidRDefault="00AC57FB" w:rsidP="00770D4A">
      <w:pPr>
        <w:pStyle w:val="ListParagraph"/>
        <w:numPr>
          <w:ilvl w:val="0"/>
          <w:numId w:val="19"/>
        </w:numPr>
        <w:spacing w:after="240"/>
        <w:ind w:left="709" w:hanging="425"/>
        <w:jc w:val="both"/>
        <w:rPr>
          <w:rFonts w:ascii="PermianSerifTypeface" w:eastAsia="Calibri" w:hAnsi="PermianSerifTypeface" w:cs="Times New Roman"/>
          <w:lang w:val="en-GB" w:eastAsia="ru-RU"/>
        </w:rPr>
      </w:pPr>
      <w:r w:rsidRPr="00AC57FB">
        <w:rPr>
          <w:rFonts w:ascii="PermianSerifTypeface" w:eastAsia="Calibri" w:hAnsi="PermianSerifTypeface" w:cs="Times New Roman"/>
          <w:lang w:val="en-GB" w:eastAsia="ru-RU"/>
        </w:rPr>
        <w:lastRenderedPageBreak/>
        <w:t xml:space="preserve">The provisions of paragraph 2 on the maximum amount of the </w:t>
      </w:r>
      <w:r w:rsidR="004C5FB0">
        <w:rPr>
          <w:rFonts w:ascii="PermianSerifTypeface" w:eastAsia="Calibri" w:hAnsi="PermianSerifTypeface" w:cs="Times New Roman"/>
          <w:lang w:val="en-GB" w:eastAsia="ru-RU"/>
        </w:rPr>
        <w:t>fee</w:t>
      </w:r>
      <w:r w:rsidRPr="00AC57FB">
        <w:rPr>
          <w:rFonts w:ascii="PermianSerifTypeface" w:eastAsia="Calibri" w:hAnsi="PermianSerifTypeface" w:cs="Times New Roman"/>
          <w:lang w:val="en-GB" w:eastAsia="ru-RU"/>
        </w:rPr>
        <w:t xml:space="preserve"> shall not apply in the case of</w:t>
      </w:r>
      <w:r w:rsidR="006A0959" w:rsidRPr="00AC57FB">
        <w:rPr>
          <w:rFonts w:ascii="PermianSerifTypeface" w:eastAsia="Calibri" w:hAnsi="PermianSerifTypeface" w:cs="Times New Roman"/>
          <w:lang w:val="en-GB" w:eastAsia="ru-RU"/>
        </w:rPr>
        <w:t>:</w:t>
      </w:r>
    </w:p>
    <w:p w14:paraId="0FAAA53F" w14:textId="7FF147D9" w:rsidR="00807324" w:rsidRPr="00AC57FB" w:rsidRDefault="00A85BD8" w:rsidP="00E64ED4">
      <w:pPr>
        <w:pStyle w:val="ListParagraph"/>
        <w:numPr>
          <w:ilvl w:val="1"/>
          <w:numId w:val="18"/>
        </w:numPr>
        <w:spacing w:before="60" w:after="0"/>
        <w:ind w:left="1134" w:hanging="357"/>
        <w:contextualSpacing w:val="0"/>
        <w:jc w:val="both"/>
        <w:rPr>
          <w:rFonts w:ascii="PermianSerifTypeface" w:eastAsia="Calibri" w:hAnsi="PermianSerifTypeface" w:cs="Times New Roman"/>
          <w:lang w:val="en-GB" w:eastAsia="ru-RU"/>
        </w:rPr>
      </w:pPr>
      <w:r w:rsidRPr="00A85BD8">
        <w:rPr>
          <w:rFonts w:ascii="PermianSerifTypeface" w:eastAsia="Calibri" w:hAnsi="PermianSerifTypeface" w:cs="Times New Roman"/>
          <w:lang w:val="en-GB" w:eastAsia="ru-RU"/>
        </w:rPr>
        <w:t>transactions with business cards</w:t>
      </w:r>
      <w:r w:rsidR="0022100B" w:rsidRPr="00AC57FB">
        <w:rPr>
          <w:rFonts w:ascii="PermianSerifTypeface" w:eastAsia="Calibri" w:hAnsi="PermianSerifTypeface" w:cs="Times New Roman"/>
          <w:lang w:val="en-GB" w:eastAsia="ru-RU"/>
        </w:rPr>
        <w:t>;</w:t>
      </w:r>
    </w:p>
    <w:p w14:paraId="2CAFADA2" w14:textId="723E7ABC" w:rsidR="00525BCA" w:rsidRPr="00AC57FB" w:rsidRDefault="00B10776" w:rsidP="00E64ED4">
      <w:pPr>
        <w:pStyle w:val="ListParagraph"/>
        <w:numPr>
          <w:ilvl w:val="1"/>
          <w:numId w:val="18"/>
        </w:numPr>
        <w:spacing w:before="60" w:after="0"/>
        <w:ind w:left="1134" w:hanging="357"/>
        <w:contextualSpacing w:val="0"/>
        <w:jc w:val="both"/>
        <w:rPr>
          <w:rFonts w:ascii="PermianSerifTypeface" w:eastAsia="Calibri" w:hAnsi="PermianSerifTypeface" w:cs="Times New Roman"/>
          <w:lang w:val="en-GB" w:eastAsia="ru-RU"/>
        </w:rPr>
      </w:pPr>
      <w:r w:rsidRPr="00B10776">
        <w:rPr>
          <w:rFonts w:ascii="PermianSerifTypeface" w:eastAsia="Calibri" w:hAnsi="PermianSerifTypeface" w:cs="Times New Roman"/>
          <w:lang w:val="en-GB" w:eastAsia="ru-RU"/>
        </w:rPr>
        <w:t>cash withdrawals from ATMs or at the cash point of a payment service provider</w:t>
      </w:r>
      <w:r w:rsidR="0022100B" w:rsidRPr="00AC57FB">
        <w:rPr>
          <w:rFonts w:ascii="PermianSerifTypeface" w:eastAsia="Calibri" w:hAnsi="PermianSerifTypeface" w:cs="Times New Roman"/>
          <w:lang w:val="en-GB" w:eastAsia="ru-RU"/>
        </w:rPr>
        <w:t xml:space="preserve">; </w:t>
      </w:r>
    </w:p>
    <w:p w14:paraId="63551512" w14:textId="7CDAF457" w:rsidR="0022100B" w:rsidRPr="00AC57FB" w:rsidRDefault="00B10776" w:rsidP="00E64ED4">
      <w:pPr>
        <w:pStyle w:val="ListParagraph"/>
        <w:numPr>
          <w:ilvl w:val="1"/>
          <w:numId w:val="18"/>
        </w:numPr>
        <w:spacing w:before="60" w:after="0"/>
        <w:ind w:left="1134" w:hanging="357"/>
        <w:contextualSpacing w:val="0"/>
        <w:jc w:val="both"/>
        <w:rPr>
          <w:rFonts w:ascii="PermianSerifTypeface" w:eastAsia="Calibri" w:hAnsi="PermianSerifTypeface" w:cs="Times New Roman"/>
          <w:lang w:val="en-GB" w:eastAsia="ru-RU"/>
        </w:rPr>
      </w:pPr>
      <w:r w:rsidRPr="00B10776">
        <w:rPr>
          <w:rFonts w:ascii="PermianSerifTypeface" w:eastAsia="Calibri" w:hAnsi="PermianSerifTypeface" w:cs="Times New Roman"/>
          <w:lang w:val="en-GB" w:eastAsia="ru-RU"/>
        </w:rPr>
        <w:t>transactions with payment cards issued by three-party card schemes</w:t>
      </w:r>
      <w:r w:rsidR="003540E6" w:rsidRPr="00AC57FB">
        <w:rPr>
          <w:rFonts w:ascii="PermianSerifTypeface" w:eastAsia="Calibri" w:hAnsi="PermianSerifTypeface" w:cs="Times New Roman"/>
          <w:lang w:val="en-GB" w:eastAsia="ru-RU"/>
        </w:rPr>
        <w:t>;</w:t>
      </w:r>
    </w:p>
    <w:p w14:paraId="0866B704" w14:textId="08B3D03B" w:rsidR="003540E6" w:rsidRPr="00AC57FB" w:rsidRDefault="00A85BD8" w:rsidP="00E64ED4">
      <w:pPr>
        <w:pStyle w:val="ListParagraph"/>
        <w:numPr>
          <w:ilvl w:val="1"/>
          <w:numId w:val="18"/>
        </w:numPr>
        <w:spacing w:before="60" w:after="0"/>
        <w:ind w:left="1134" w:hanging="357"/>
        <w:contextualSpacing w:val="0"/>
        <w:jc w:val="both"/>
        <w:rPr>
          <w:rFonts w:ascii="PermianSerifTypeface" w:eastAsia="Calibri" w:hAnsi="PermianSerifTypeface" w:cs="Times New Roman"/>
          <w:lang w:val="en-GB" w:eastAsia="ru-RU"/>
        </w:rPr>
      </w:pPr>
      <w:r w:rsidRPr="00A85BD8">
        <w:rPr>
          <w:rFonts w:ascii="PermianSerifTypeface" w:eastAsia="Calibri" w:hAnsi="PermianSerifTypeface" w:cs="Times New Roman"/>
          <w:lang w:val="en-GB" w:eastAsia="ru-RU"/>
        </w:rPr>
        <w:t>accepting provider is located outside the Republic of Moldova</w:t>
      </w:r>
      <w:r w:rsidR="00860EA8" w:rsidRPr="00AC57FB">
        <w:rPr>
          <w:rFonts w:ascii="PermianSerifTypeface" w:eastAsia="Calibri" w:hAnsi="PermianSerifTypeface" w:cs="Times New Roman"/>
          <w:lang w:val="en-GB" w:eastAsia="ru-RU"/>
        </w:rPr>
        <w:t>”</w:t>
      </w:r>
      <w:r w:rsidR="003540E6" w:rsidRPr="00AC57FB">
        <w:rPr>
          <w:rFonts w:ascii="PermianSerifTypeface" w:eastAsia="Calibri" w:hAnsi="PermianSerifTypeface" w:cs="Times New Roman"/>
          <w:lang w:val="en-GB" w:eastAsia="ru-RU"/>
        </w:rPr>
        <w:t>.</w:t>
      </w:r>
    </w:p>
    <w:p w14:paraId="6A2E2198" w14:textId="354812A9" w:rsidR="003540E6" w:rsidRPr="00AC57FB" w:rsidRDefault="003540E6" w:rsidP="00F74426">
      <w:pPr>
        <w:pStyle w:val="Punct"/>
        <w:numPr>
          <w:ilvl w:val="0"/>
          <w:numId w:val="0"/>
        </w:numPr>
        <w:tabs>
          <w:tab w:val="clear" w:pos="1134"/>
          <w:tab w:val="left" w:pos="284"/>
          <w:tab w:val="left" w:pos="851"/>
        </w:tabs>
        <w:spacing w:before="0"/>
        <w:rPr>
          <w:rFonts w:ascii="PermianSerifTypeface" w:hAnsi="PermianSerifTypeface"/>
          <w:color w:val="000000" w:themeColor="text1"/>
          <w:lang w:val="en-GB"/>
        </w:rPr>
      </w:pPr>
    </w:p>
    <w:p w14:paraId="2900B3DD" w14:textId="77777777" w:rsidR="003540E6" w:rsidRPr="00AC57FB" w:rsidRDefault="003540E6" w:rsidP="00F74426">
      <w:pPr>
        <w:pStyle w:val="Punct"/>
        <w:numPr>
          <w:ilvl w:val="0"/>
          <w:numId w:val="0"/>
        </w:numPr>
        <w:tabs>
          <w:tab w:val="clear" w:pos="1134"/>
          <w:tab w:val="left" w:pos="284"/>
          <w:tab w:val="left" w:pos="851"/>
        </w:tabs>
        <w:spacing w:before="0"/>
        <w:rPr>
          <w:rFonts w:ascii="PermianSerifTypeface" w:hAnsi="PermianSerifTypeface"/>
          <w:color w:val="000000" w:themeColor="text1"/>
          <w:lang w:val="en-GB"/>
        </w:rPr>
      </w:pPr>
    </w:p>
    <w:p w14:paraId="20057267" w14:textId="0AFE9093" w:rsidR="000C3D12" w:rsidRPr="00AC57FB" w:rsidRDefault="00AC57FB" w:rsidP="00AC57FB">
      <w:pPr>
        <w:pStyle w:val="Punct"/>
        <w:numPr>
          <w:ilvl w:val="0"/>
          <w:numId w:val="18"/>
        </w:numPr>
        <w:tabs>
          <w:tab w:val="clear" w:pos="1134"/>
          <w:tab w:val="left" w:pos="284"/>
          <w:tab w:val="left" w:pos="851"/>
        </w:tabs>
        <w:spacing w:before="0"/>
        <w:rPr>
          <w:rFonts w:ascii="PermianSerifTypeface" w:hAnsi="PermianSerifTypeface"/>
          <w:lang w:val="en-GB"/>
        </w:rPr>
      </w:pPr>
      <w:r w:rsidRPr="00AC57FB">
        <w:rPr>
          <w:rFonts w:ascii="PermianSerifTypeface" w:hAnsi="PermianSerifTypeface"/>
          <w:bCs/>
          <w:lang w:val="en-GB"/>
        </w:rPr>
        <w:t>This Decision shall enter into force on the date of its publication in the Official Monitor.</w:t>
      </w:r>
    </w:p>
    <w:sectPr w:rsidR="000C3D12" w:rsidRPr="00AC57FB" w:rsidSect="008E0D2D">
      <w:headerReference w:type="even" r:id="rId9"/>
      <w:headerReference w:type="default" r:id="rId10"/>
      <w:footerReference w:type="even" r:id="rId11"/>
      <w:footerReference w:type="default" r:id="rId12"/>
      <w:footnotePr>
        <w:numRestart w:val="eachPage"/>
      </w:footnotePr>
      <w:pgSz w:w="11907" w:h="16840" w:code="9"/>
      <w:pgMar w:top="127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9869" w14:textId="77777777" w:rsidR="006D5106" w:rsidRDefault="006D5106" w:rsidP="007146FC">
      <w:pPr>
        <w:spacing w:after="0" w:line="240" w:lineRule="auto"/>
      </w:pPr>
      <w:r>
        <w:separator/>
      </w:r>
    </w:p>
  </w:endnote>
  <w:endnote w:type="continuationSeparator" w:id="0">
    <w:p w14:paraId="6380C17D" w14:textId="77777777" w:rsidR="006D5106" w:rsidRDefault="006D5106" w:rsidP="0071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56AF" w14:textId="77777777" w:rsidR="007146FC" w:rsidRDefault="007146FC" w:rsidP="007146FC">
    <w:pPr>
      <w:pStyle w:val="Footer"/>
      <w:jc w:val="center"/>
    </w:pPr>
    <w:bookmarkStart w:id="5" w:name="TITUS1FooterEvenPages"/>
    <w:r>
      <w:t xml:space="preserve"> </w:t>
    </w:r>
  </w:p>
  <w:p w14:paraId="553C7587" w14:textId="77777777" w:rsidR="007146FC" w:rsidRDefault="007146FC" w:rsidP="007146FC">
    <w:pPr>
      <w:pStyle w:val="Footer"/>
    </w:pPr>
    <w:r>
      <w:t xml:space="preserve"> </w:t>
    </w:r>
  </w:p>
  <w:bookmarkEnd w:id="5"/>
  <w:p w14:paraId="0B75A2EC" w14:textId="77777777" w:rsidR="007146FC" w:rsidRDefault="00714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0E4B" w14:textId="77777777" w:rsidR="007146FC" w:rsidRDefault="007146FC" w:rsidP="007146FC">
    <w:pPr>
      <w:pStyle w:val="Footer"/>
      <w:jc w:val="center"/>
    </w:pPr>
    <w:bookmarkStart w:id="6" w:name="TITUS1FooterPrimary"/>
    <w:r>
      <w:t xml:space="preserve"> </w:t>
    </w:r>
  </w:p>
  <w:p w14:paraId="4BB63C4C" w14:textId="77777777" w:rsidR="007146FC" w:rsidRDefault="007146FC" w:rsidP="007146FC">
    <w:pPr>
      <w:pStyle w:val="Footer"/>
    </w:pPr>
    <w:r>
      <w:t xml:space="preserve"> </w:t>
    </w:r>
  </w:p>
  <w:bookmarkEnd w:id="6"/>
  <w:p w14:paraId="2933FC6A" w14:textId="77777777" w:rsidR="007146FC" w:rsidRDefault="00714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ED8C" w14:textId="77777777" w:rsidR="006D5106" w:rsidRDefault="006D5106" w:rsidP="007146FC">
      <w:pPr>
        <w:spacing w:after="0" w:line="240" w:lineRule="auto"/>
      </w:pPr>
      <w:r>
        <w:separator/>
      </w:r>
    </w:p>
  </w:footnote>
  <w:footnote w:type="continuationSeparator" w:id="0">
    <w:p w14:paraId="318E1087" w14:textId="77777777" w:rsidR="006D5106" w:rsidRDefault="006D5106" w:rsidP="0071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67AA" w14:textId="77777777" w:rsidR="007146FC" w:rsidRDefault="007146FC" w:rsidP="007146FC">
    <w:pPr>
      <w:pStyle w:val="Header"/>
      <w:jc w:val="right"/>
    </w:pPr>
    <w:bookmarkStart w:id="3" w:name="TITUS1HeaderEvenPages"/>
    <w:r>
      <w:t xml:space="preserve"> </w:t>
    </w:r>
  </w:p>
  <w:bookmarkEnd w:id="3"/>
  <w:p w14:paraId="4C4DAA71" w14:textId="77777777" w:rsidR="007146FC" w:rsidRDefault="00714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E369" w14:textId="77777777" w:rsidR="007146FC" w:rsidRDefault="007146FC" w:rsidP="007146FC">
    <w:pPr>
      <w:pStyle w:val="Header"/>
      <w:jc w:val="right"/>
    </w:pPr>
    <w:bookmarkStart w:id="4" w:name="TITUS1HeaderPrimary"/>
    <w:r>
      <w:t xml:space="preserve"> </w:t>
    </w:r>
  </w:p>
  <w:bookmarkEnd w:id="4"/>
  <w:p w14:paraId="5D84360B" w14:textId="77777777" w:rsidR="007146FC" w:rsidRDefault="00714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66"/>
    <w:multiLevelType w:val="hybridMultilevel"/>
    <w:tmpl w:val="82BAA1F8"/>
    <w:lvl w:ilvl="0" w:tplc="10A84222">
      <w:start w:val="1"/>
      <w:numFmt w:val="decimal"/>
      <w:pStyle w:val="Punct"/>
      <w:lvlText w:val="%1."/>
      <w:lvlJc w:val="left"/>
      <w:pPr>
        <w:ind w:left="720" w:hanging="360"/>
      </w:pPr>
      <w:rPr>
        <w:rFonts w:cs="Times New Roman" w:hint="default"/>
        <w:b/>
        <w:sz w:val="22"/>
        <w:szCs w:val="22"/>
      </w:rPr>
    </w:lvl>
    <w:lvl w:ilvl="1" w:tplc="36E4241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E758F"/>
    <w:multiLevelType w:val="hybridMultilevel"/>
    <w:tmpl w:val="0C440554"/>
    <w:lvl w:ilvl="0" w:tplc="33640ED2">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6706"/>
    <w:multiLevelType w:val="hybridMultilevel"/>
    <w:tmpl w:val="80BA032A"/>
    <w:lvl w:ilvl="0" w:tplc="08180011">
      <w:start w:val="1"/>
      <w:numFmt w:val="decimal"/>
      <w:lvlText w:val="%1)"/>
      <w:lvlJc w:val="left"/>
      <w:pPr>
        <w:ind w:left="1069"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2EED04B5"/>
    <w:multiLevelType w:val="hybridMultilevel"/>
    <w:tmpl w:val="E04C6E66"/>
    <w:lvl w:ilvl="0" w:tplc="FA4CE8CE">
      <w:start w:val="1"/>
      <w:numFmt w:val="decimal"/>
      <w:lvlText w:val="%1."/>
      <w:lvlJc w:val="left"/>
      <w:pPr>
        <w:ind w:left="720" w:hanging="360"/>
      </w:pPr>
      <w:rPr>
        <w:rFonts w:ascii="PermianSerifTypeface" w:hAnsi="PermianSerifTypefac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F2B41"/>
    <w:multiLevelType w:val="hybridMultilevel"/>
    <w:tmpl w:val="14AEB57C"/>
    <w:lvl w:ilvl="0" w:tplc="DD0CBE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02E7233"/>
    <w:multiLevelType w:val="hybridMultilevel"/>
    <w:tmpl w:val="82FC60AE"/>
    <w:lvl w:ilvl="0" w:tplc="7252203E">
      <w:start w:val="1"/>
      <w:numFmt w:val="decimal"/>
      <w:lvlText w:val="%1."/>
      <w:lvlJc w:val="left"/>
      <w:pPr>
        <w:ind w:left="720" w:hanging="360"/>
      </w:pPr>
      <w:rPr>
        <w:rFonts w:hint="default"/>
        <w:b w:val="0"/>
        <w:bCs w:val="0"/>
        <w:color w:val="auto"/>
        <w:lang w:val="ro-R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40761D3E"/>
    <w:multiLevelType w:val="hybridMultilevel"/>
    <w:tmpl w:val="D1C0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071CE"/>
    <w:multiLevelType w:val="hybridMultilevel"/>
    <w:tmpl w:val="04EE9C2A"/>
    <w:lvl w:ilvl="0" w:tplc="00A885AA">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4E317CF2"/>
    <w:multiLevelType w:val="hybridMultilevel"/>
    <w:tmpl w:val="60A2AC04"/>
    <w:lvl w:ilvl="0" w:tplc="F9CA5816">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15:restartNumberingAfterBreak="0">
    <w:nsid w:val="50CB4AEB"/>
    <w:multiLevelType w:val="hybridMultilevel"/>
    <w:tmpl w:val="9CC259C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525302E2"/>
    <w:multiLevelType w:val="hybridMultilevel"/>
    <w:tmpl w:val="702E327C"/>
    <w:lvl w:ilvl="0" w:tplc="08180001">
      <w:start w:val="1"/>
      <w:numFmt w:val="bullet"/>
      <w:lvlText w:val=""/>
      <w:lvlJc w:val="left"/>
      <w:pPr>
        <w:ind w:left="1287" w:hanging="360"/>
      </w:pPr>
      <w:rPr>
        <w:rFonts w:ascii="Symbol" w:hAnsi="Symbol"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1" w15:restartNumberingAfterBreak="0">
    <w:nsid w:val="52A67686"/>
    <w:multiLevelType w:val="hybridMultilevel"/>
    <w:tmpl w:val="934E8350"/>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5A54076C"/>
    <w:multiLevelType w:val="hybridMultilevel"/>
    <w:tmpl w:val="6F6CF03C"/>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AB2419"/>
    <w:multiLevelType w:val="hybridMultilevel"/>
    <w:tmpl w:val="FED84FD8"/>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5EE2534E"/>
    <w:multiLevelType w:val="hybridMultilevel"/>
    <w:tmpl w:val="735E4994"/>
    <w:lvl w:ilvl="0" w:tplc="A2368E04">
      <w:start w:val="1"/>
      <w:numFmt w:val="decimal"/>
      <w:lvlText w:val="%1."/>
      <w:lvlJc w:val="left"/>
      <w:pPr>
        <w:ind w:left="720" w:hanging="360"/>
      </w:pPr>
      <w:rPr>
        <w:b/>
        <w:bCs/>
      </w:rPr>
    </w:lvl>
    <w:lvl w:ilvl="1" w:tplc="09DECB4C">
      <w:start w:val="1"/>
      <w:numFmt w:val="lowerLetter"/>
      <w:lvlText w:val="%2)"/>
      <w:lvlJc w:val="left"/>
      <w:pPr>
        <w:ind w:left="1440" w:hanging="360"/>
      </w:pPr>
      <w:rPr>
        <w:rFonts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688B60FC"/>
    <w:multiLevelType w:val="hybridMultilevel"/>
    <w:tmpl w:val="E930556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70D439A8"/>
    <w:multiLevelType w:val="hybridMultilevel"/>
    <w:tmpl w:val="81D2E092"/>
    <w:lvl w:ilvl="0" w:tplc="2A80C3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72A6161B"/>
    <w:multiLevelType w:val="hybridMultilevel"/>
    <w:tmpl w:val="106C52C2"/>
    <w:lvl w:ilvl="0" w:tplc="0D56FF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76A692E"/>
    <w:multiLevelType w:val="hybridMultilevel"/>
    <w:tmpl w:val="BC6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33BB3"/>
    <w:multiLevelType w:val="hybridMultilevel"/>
    <w:tmpl w:val="F2F67AAC"/>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0"/>
    <w:lvlOverride w:ilvl="0">
      <w:startOverride w:val="1"/>
    </w:lvlOverride>
  </w:num>
  <w:num w:numId="5">
    <w:abstractNumId w:val="16"/>
  </w:num>
  <w:num w:numId="6">
    <w:abstractNumId w:val="17"/>
  </w:num>
  <w:num w:numId="7">
    <w:abstractNumId w:val="4"/>
  </w:num>
  <w:num w:numId="8">
    <w:abstractNumId w:val="1"/>
  </w:num>
  <w:num w:numId="9">
    <w:abstractNumId w:val="18"/>
  </w:num>
  <w:num w:numId="10">
    <w:abstractNumId w:val="13"/>
  </w:num>
  <w:num w:numId="11">
    <w:abstractNumId w:val="19"/>
  </w:num>
  <w:num w:numId="12">
    <w:abstractNumId w:val="14"/>
  </w:num>
  <w:num w:numId="13">
    <w:abstractNumId w:val="8"/>
  </w:num>
  <w:num w:numId="14">
    <w:abstractNumId w:val="10"/>
  </w:num>
  <w:num w:numId="15">
    <w:abstractNumId w:val="7"/>
  </w:num>
  <w:num w:numId="16">
    <w:abstractNumId w:val="15"/>
  </w:num>
  <w:num w:numId="17">
    <w:abstractNumId w:val="2"/>
  </w:num>
  <w:num w:numId="18">
    <w:abstractNumId w:val="11"/>
  </w:num>
  <w:num w:numId="19">
    <w:abstractNumId w:val="5"/>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20"/>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50"/>
    <w:rsid w:val="00005672"/>
    <w:rsid w:val="000105DD"/>
    <w:rsid w:val="0001656B"/>
    <w:rsid w:val="00020786"/>
    <w:rsid w:val="0002132A"/>
    <w:rsid w:val="000330AD"/>
    <w:rsid w:val="00035EBC"/>
    <w:rsid w:val="00057802"/>
    <w:rsid w:val="00057E62"/>
    <w:rsid w:val="00077B59"/>
    <w:rsid w:val="0008011F"/>
    <w:rsid w:val="00085DC4"/>
    <w:rsid w:val="0009459E"/>
    <w:rsid w:val="000A086F"/>
    <w:rsid w:val="000A1C5B"/>
    <w:rsid w:val="000A51A1"/>
    <w:rsid w:val="000C3D12"/>
    <w:rsid w:val="000E19B1"/>
    <w:rsid w:val="000F705A"/>
    <w:rsid w:val="00100BC8"/>
    <w:rsid w:val="00115E2B"/>
    <w:rsid w:val="00121DD5"/>
    <w:rsid w:val="00136774"/>
    <w:rsid w:val="00154A71"/>
    <w:rsid w:val="00155142"/>
    <w:rsid w:val="001722D1"/>
    <w:rsid w:val="001725A7"/>
    <w:rsid w:val="0019281F"/>
    <w:rsid w:val="001A4C40"/>
    <w:rsid w:val="001B20C5"/>
    <w:rsid w:val="001E066E"/>
    <w:rsid w:val="001E37D3"/>
    <w:rsid w:val="001F2664"/>
    <w:rsid w:val="0020626D"/>
    <w:rsid w:val="0020753D"/>
    <w:rsid w:val="00211571"/>
    <w:rsid w:val="00214892"/>
    <w:rsid w:val="0022100B"/>
    <w:rsid w:val="00225833"/>
    <w:rsid w:val="002304B2"/>
    <w:rsid w:val="00230530"/>
    <w:rsid w:val="0023545D"/>
    <w:rsid w:val="00275704"/>
    <w:rsid w:val="002772C0"/>
    <w:rsid w:val="00277CAC"/>
    <w:rsid w:val="002963C4"/>
    <w:rsid w:val="002A54BC"/>
    <w:rsid w:val="002C30A3"/>
    <w:rsid w:val="002E3805"/>
    <w:rsid w:val="0030070A"/>
    <w:rsid w:val="00324DB1"/>
    <w:rsid w:val="00335AE4"/>
    <w:rsid w:val="0035118B"/>
    <w:rsid w:val="003536EB"/>
    <w:rsid w:val="003540E6"/>
    <w:rsid w:val="00361331"/>
    <w:rsid w:val="00370307"/>
    <w:rsid w:val="003706D5"/>
    <w:rsid w:val="00383CEA"/>
    <w:rsid w:val="00386B8B"/>
    <w:rsid w:val="00386DFD"/>
    <w:rsid w:val="00390168"/>
    <w:rsid w:val="00390EE4"/>
    <w:rsid w:val="003A0841"/>
    <w:rsid w:val="003D00FB"/>
    <w:rsid w:val="003E08CA"/>
    <w:rsid w:val="003E1077"/>
    <w:rsid w:val="003F3BE4"/>
    <w:rsid w:val="00403854"/>
    <w:rsid w:val="004068B2"/>
    <w:rsid w:val="00407254"/>
    <w:rsid w:val="00416017"/>
    <w:rsid w:val="00417176"/>
    <w:rsid w:val="00430FF1"/>
    <w:rsid w:val="004315DE"/>
    <w:rsid w:val="004355F0"/>
    <w:rsid w:val="0044109D"/>
    <w:rsid w:val="00446199"/>
    <w:rsid w:val="00462C6C"/>
    <w:rsid w:val="0046312A"/>
    <w:rsid w:val="00473774"/>
    <w:rsid w:val="00480A89"/>
    <w:rsid w:val="0049407D"/>
    <w:rsid w:val="004B0F09"/>
    <w:rsid w:val="004B3163"/>
    <w:rsid w:val="004B6C10"/>
    <w:rsid w:val="004C5FB0"/>
    <w:rsid w:val="004D107E"/>
    <w:rsid w:val="004E6B14"/>
    <w:rsid w:val="004F6BD0"/>
    <w:rsid w:val="00506C52"/>
    <w:rsid w:val="005119EC"/>
    <w:rsid w:val="005129D1"/>
    <w:rsid w:val="00525BCA"/>
    <w:rsid w:val="00525CC5"/>
    <w:rsid w:val="00545F6E"/>
    <w:rsid w:val="00554EFF"/>
    <w:rsid w:val="005618F2"/>
    <w:rsid w:val="005715F3"/>
    <w:rsid w:val="005728FF"/>
    <w:rsid w:val="005748E8"/>
    <w:rsid w:val="00580E77"/>
    <w:rsid w:val="00591D9B"/>
    <w:rsid w:val="005A32B9"/>
    <w:rsid w:val="005B7FD9"/>
    <w:rsid w:val="005C15C2"/>
    <w:rsid w:val="005C6877"/>
    <w:rsid w:val="005E26D4"/>
    <w:rsid w:val="0060756E"/>
    <w:rsid w:val="00613DF6"/>
    <w:rsid w:val="00645F31"/>
    <w:rsid w:val="006743F0"/>
    <w:rsid w:val="00675A79"/>
    <w:rsid w:val="00677F0F"/>
    <w:rsid w:val="006A0959"/>
    <w:rsid w:val="006A1AC6"/>
    <w:rsid w:val="006B5E7E"/>
    <w:rsid w:val="006B75D8"/>
    <w:rsid w:val="006C2569"/>
    <w:rsid w:val="006C2653"/>
    <w:rsid w:val="006D5106"/>
    <w:rsid w:val="006D7536"/>
    <w:rsid w:val="006F7311"/>
    <w:rsid w:val="007063E4"/>
    <w:rsid w:val="007146FC"/>
    <w:rsid w:val="0072122A"/>
    <w:rsid w:val="007225BA"/>
    <w:rsid w:val="00726DC1"/>
    <w:rsid w:val="00730B6A"/>
    <w:rsid w:val="00737415"/>
    <w:rsid w:val="00743BD0"/>
    <w:rsid w:val="00757127"/>
    <w:rsid w:val="00770D4A"/>
    <w:rsid w:val="007A309D"/>
    <w:rsid w:val="007A3728"/>
    <w:rsid w:val="007A4DB9"/>
    <w:rsid w:val="007A5385"/>
    <w:rsid w:val="007B36FE"/>
    <w:rsid w:val="007B7E7F"/>
    <w:rsid w:val="007C1564"/>
    <w:rsid w:val="007D7AB0"/>
    <w:rsid w:val="007E0FBF"/>
    <w:rsid w:val="007E29D3"/>
    <w:rsid w:val="007E7AA9"/>
    <w:rsid w:val="007F01B8"/>
    <w:rsid w:val="0080163A"/>
    <w:rsid w:val="00803D36"/>
    <w:rsid w:val="00807324"/>
    <w:rsid w:val="008123FB"/>
    <w:rsid w:val="00812BE0"/>
    <w:rsid w:val="00813108"/>
    <w:rsid w:val="00831E86"/>
    <w:rsid w:val="00841DFE"/>
    <w:rsid w:val="008435A6"/>
    <w:rsid w:val="00850286"/>
    <w:rsid w:val="00852022"/>
    <w:rsid w:val="00860EA8"/>
    <w:rsid w:val="0087614B"/>
    <w:rsid w:val="00881468"/>
    <w:rsid w:val="008931DC"/>
    <w:rsid w:val="008A3C43"/>
    <w:rsid w:val="008A5067"/>
    <w:rsid w:val="008B066B"/>
    <w:rsid w:val="008B0863"/>
    <w:rsid w:val="008B247C"/>
    <w:rsid w:val="008B5A50"/>
    <w:rsid w:val="008C0950"/>
    <w:rsid w:val="008D0341"/>
    <w:rsid w:val="008D2C15"/>
    <w:rsid w:val="008E0D2D"/>
    <w:rsid w:val="008E2FA6"/>
    <w:rsid w:val="008E4BA6"/>
    <w:rsid w:val="008E7890"/>
    <w:rsid w:val="008F231A"/>
    <w:rsid w:val="009150F2"/>
    <w:rsid w:val="00915432"/>
    <w:rsid w:val="009341C9"/>
    <w:rsid w:val="00944E30"/>
    <w:rsid w:val="00951B1B"/>
    <w:rsid w:val="00954AAE"/>
    <w:rsid w:val="0096259E"/>
    <w:rsid w:val="00971C8C"/>
    <w:rsid w:val="00975834"/>
    <w:rsid w:val="009774FB"/>
    <w:rsid w:val="0098280B"/>
    <w:rsid w:val="00987E80"/>
    <w:rsid w:val="00996863"/>
    <w:rsid w:val="009A4B63"/>
    <w:rsid w:val="009A57FF"/>
    <w:rsid w:val="009A64A7"/>
    <w:rsid w:val="009D0232"/>
    <w:rsid w:val="009D3555"/>
    <w:rsid w:val="009D6C3C"/>
    <w:rsid w:val="009E58BE"/>
    <w:rsid w:val="009F015C"/>
    <w:rsid w:val="009F105D"/>
    <w:rsid w:val="00A011B3"/>
    <w:rsid w:val="00A10066"/>
    <w:rsid w:val="00A10784"/>
    <w:rsid w:val="00A357A5"/>
    <w:rsid w:val="00A473EC"/>
    <w:rsid w:val="00A4740B"/>
    <w:rsid w:val="00A74628"/>
    <w:rsid w:val="00A8147F"/>
    <w:rsid w:val="00A822CB"/>
    <w:rsid w:val="00A85BD8"/>
    <w:rsid w:val="00A85CBC"/>
    <w:rsid w:val="00A85D6B"/>
    <w:rsid w:val="00A94F54"/>
    <w:rsid w:val="00A94F81"/>
    <w:rsid w:val="00A950C7"/>
    <w:rsid w:val="00AA46A1"/>
    <w:rsid w:val="00AA7BBF"/>
    <w:rsid w:val="00AA7E10"/>
    <w:rsid w:val="00AC56B3"/>
    <w:rsid w:val="00AC57FB"/>
    <w:rsid w:val="00AF5A2C"/>
    <w:rsid w:val="00AF5BA0"/>
    <w:rsid w:val="00B05051"/>
    <w:rsid w:val="00B05594"/>
    <w:rsid w:val="00B10776"/>
    <w:rsid w:val="00B13415"/>
    <w:rsid w:val="00B20B13"/>
    <w:rsid w:val="00B22CA6"/>
    <w:rsid w:val="00B35CAB"/>
    <w:rsid w:val="00B3640F"/>
    <w:rsid w:val="00B43EAF"/>
    <w:rsid w:val="00B4667C"/>
    <w:rsid w:val="00B51555"/>
    <w:rsid w:val="00B55EC3"/>
    <w:rsid w:val="00B570D9"/>
    <w:rsid w:val="00B577AE"/>
    <w:rsid w:val="00B722FA"/>
    <w:rsid w:val="00B72F5F"/>
    <w:rsid w:val="00B95A40"/>
    <w:rsid w:val="00B968DE"/>
    <w:rsid w:val="00B97650"/>
    <w:rsid w:val="00BB120E"/>
    <w:rsid w:val="00BB59CA"/>
    <w:rsid w:val="00BC29DE"/>
    <w:rsid w:val="00BD2944"/>
    <w:rsid w:val="00BD4645"/>
    <w:rsid w:val="00BE1900"/>
    <w:rsid w:val="00BE1AE6"/>
    <w:rsid w:val="00BE25F4"/>
    <w:rsid w:val="00BE4852"/>
    <w:rsid w:val="00C01FBE"/>
    <w:rsid w:val="00C2732D"/>
    <w:rsid w:val="00C32A13"/>
    <w:rsid w:val="00C34B04"/>
    <w:rsid w:val="00C40F38"/>
    <w:rsid w:val="00C422F2"/>
    <w:rsid w:val="00C46323"/>
    <w:rsid w:val="00C528C7"/>
    <w:rsid w:val="00C717E2"/>
    <w:rsid w:val="00C76915"/>
    <w:rsid w:val="00C8174D"/>
    <w:rsid w:val="00C945C7"/>
    <w:rsid w:val="00CC3DBD"/>
    <w:rsid w:val="00CC4994"/>
    <w:rsid w:val="00CD30C9"/>
    <w:rsid w:val="00CE05F8"/>
    <w:rsid w:val="00CE15F7"/>
    <w:rsid w:val="00CF2EF5"/>
    <w:rsid w:val="00CF6A2F"/>
    <w:rsid w:val="00D27EE8"/>
    <w:rsid w:val="00D30C7F"/>
    <w:rsid w:val="00D415D4"/>
    <w:rsid w:val="00D46D50"/>
    <w:rsid w:val="00D643C3"/>
    <w:rsid w:val="00D95305"/>
    <w:rsid w:val="00D9732A"/>
    <w:rsid w:val="00DA652B"/>
    <w:rsid w:val="00DA6B6B"/>
    <w:rsid w:val="00DB66DA"/>
    <w:rsid w:val="00DD13F1"/>
    <w:rsid w:val="00DE0461"/>
    <w:rsid w:val="00E11F0B"/>
    <w:rsid w:val="00E135DB"/>
    <w:rsid w:val="00E275FA"/>
    <w:rsid w:val="00E2790D"/>
    <w:rsid w:val="00E42A0F"/>
    <w:rsid w:val="00E43C9C"/>
    <w:rsid w:val="00E64ED4"/>
    <w:rsid w:val="00E66B8E"/>
    <w:rsid w:val="00E67FE7"/>
    <w:rsid w:val="00E70F7D"/>
    <w:rsid w:val="00E73581"/>
    <w:rsid w:val="00E80DAF"/>
    <w:rsid w:val="00E82C21"/>
    <w:rsid w:val="00E84E2A"/>
    <w:rsid w:val="00E920D6"/>
    <w:rsid w:val="00E945D6"/>
    <w:rsid w:val="00E946C6"/>
    <w:rsid w:val="00E9594B"/>
    <w:rsid w:val="00E97FC4"/>
    <w:rsid w:val="00EB0D5A"/>
    <w:rsid w:val="00EB5ACB"/>
    <w:rsid w:val="00EB770C"/>
    <w:rsid w:val="00EC3451"/>
    <w:rsid w:val="00EC4419"/>
    <w:rsid w:val="00EF22C1"/>
    <w:rsid w:val="00F14442"/>
    <w:rsid w:val="00F147E3"/>
    <w:rsid w:val="00F17BE7"/>
    <w:rsid w:val="00F351B3"/>
    <w:rsid w:val="00F3753C"/>
    <w:rsid w:val="00F50766"/>
    <w:rsid w:val="00F679D7"/>
    <w:rsid w:val="00F71140"/>
    <w:rsid w:val="00F72E23"/>
    <w:rsid w:val="00F74426"/>
    <w:rsid w:val="00F831D6"/>
    <w:rsid w:val="00FA2001"/>
    <w:rsid w:val="00FA26A4"/>
    <w:rsid w:val="00FA75C2"/>
    <w:rsid w:val="00FB120F"/>
    <w:rsid w:val="00FB42F1"/>
    <w:rsid w:val="00FC3E99"/>
    <w:rsid w:val="00FC6AC0"/>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E887"/>
  <w15:chartTrackingRefBased/>
  <w15:docId w15:val="{8C8245A4-AAE1-4AA8-914A-42D4E02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3DBD"/>
    <w:pPr>
      <w:ind w:left="720"/>
      <w:contextualSpacing/>
    </w:pPr>
  </w:style>
  <w:style w:type="character" w:customStyle="1" w:styleId="2">
    <w:name w:val="Основной текст (2)_"/>
    <w:link w:val="20"/>
    <w:rsid w:val="00CC3DBD"/>
    <w:rPr>
      <w:rFonts w:ascii="Arial" w:hAnsi="Arial"/>
      <w:b/>
      <w:bCs/>
      <w:shd w:val="clear" w:color="auto" w:fill="FFFFFF"/>
    </w:rPr>
  </w:style>
  <w:style w:type="character" w:customStyle="1" w:styleId="1">
    <w:name w:val="Заголовок №1_"/>
    <w:link w:val="10"/>
    <w:rsid w:val="00CC3DBD"/>
    <w:rPr>
      <w:rFonts w:ascii="Arial" w:hAnsi="Arial"/>
      <w:sz w:val="26"/>
      <w:szCs w:val="26"/>
      <w:shd w:val="clear" w:color="auto" w:fill="FFFFFF"/>
    </w:rPr>
  </w:style>
  <w:style w:type="paragraph" w:customStyle="1" w:styleId="20">
    <w:name w:val="Основной текст (2)"/>
    <w:basedOn w:val="Normal"/>
    <w:link w:val="2"/>
    <w:rsid w:val="00CC3DBD"/>
    <w:pPr>
      <w:widowControl w:val="0"/>
      <w:shd w:val="clear" w:color="auto" w:fill="FFFFFF"/>
      <w:spacing w:after="0" w:line="274" w:lineRule="exact"/>
    </w:pPr>
    <w:rPr>
      <w:rFonts w:ascii="Arial" w:hAnsi="Arial"/>
      <w:b/>
      <w:bCs/>
    </w:rPr>
  </w:style>
  <w:style w:type="paragraph" w:customStyle="1" w:styleId="10">
    <w:name w:val="Заголовок №1"/>
    <w:basedOn w:val="Normal"/>
    <w:link w:val="1"/>
    <w:rsid w:val="00CC3DBD"/>
    <w:pPr>
      <w:widowControl w:val="0"/>
      <w:shd w:val="clear" w:color="auto" w:fill="FFFFFF"/>
      <w:spacing w:before="240" w:after="0" w:line="240" w:lineRule="atLeast"/>
      <w:outlineLvl w:val="0"/>
    </w:pPr>
    <w:rPr>
      <w:rFonts w:ascii="Arial" w:hAnsi="Arial"/>
      <w:sz w:val="26"/>
      <w:szCs w:val="26"/>
    </w:rPr>
  </w:style>
  <w:style w:type="paragraph" w:styleId="BodyText2">
    <w:name w:val="Body Text 2"/>
    <w:basedOn w:val="Normal"/>
    <w:link w:val="BodyText2Char"/>
    <w:rsid w:val="00CC3DBD"/>
    <w:pPr>
      <w:spacing w:after="0" w:line="240" w:lineRule="auto"/>
      <w:jc w:val="center"/>
    </w:pPr>
    <w:rPr>
      <w:rFonts w:ascii="Times New Roman" w:eastAsia="Times New Roman" w:hAnsi="Times New Roman" w:cs="Times New Roman"/>
      <w:bCs/>
      <w:sz w:val="28"/>
      <w:szCs w:val="28"/>
      <w:lang w:val="ro-RO"/>
    </w:rPr>
  </w:style>
  <w:style w:type="character" w:customStyle="1" w:styleId="BodyText2Char">
    <w:name w:val="Body Text 2 Char"/>
    <w:basedOn w:val="DefaultParagraphFont"/>
    <w:link w:val="BodyText2"/>
    <w:rsid w:val="00CC3DBD"/>
    <w:rPr>
      <w:rFonts w:ascii="Times New Roman" w:eastAsia="Times New Roman" w:hAnsi="Times New Roman" w:cs="Times New Roman"/>
      <w:bCs/>
      <w:sz w:val="28"/>
      <w:szCs w:val="28"/>
      <w:lang w:val="ro-RO"/>
    </w:rPr>
  </w:style>
  <w:style w:type="paragraph" w:customStyle="1" w:styleId="Punct">
    <w:name w:val="Punct"/>
    <w:basedOn w:val="ListParagraph"/>
    <w:link w:val="PunctChar"/>
    <w:qFormat/>
    <w:rsid w:val="00CC3DBD"/>
    <w:pPr>
      <w:keepNext/>
      <w:keepLines/>
      <w:widowControl w:val="0"/>
      <w:numPr>
        <w:numId w:val="1"/>
      </w:numPr>
      <w:tabs>
        <w:tab w:val="left" w:pos="1134"/>
      </w:tabs>
      <w:spacing w:before="120" w:after="0" w:line="240" w:lineRule="auto"/>
      <w:contextualSpacing w:val="0"/>
      <w:jc w:val="both"/>
      <w:outlineLvl w:val="0"/>
    </w:pPr>
    <w:rPr>
      <w:rFonts w:ascii="Times New Roman" w:hAnsi="Times New Roman" w:cs="Times New Roman"/>
      <w:lang w:val="ro-MD"/>
    </w:rPr>
  </w:style>
  <w:style w:type="character" w:customStyle="1" w:styleId="ListParagraphChar">
    <w:name w:val="List Paragraph Char"/>
    <w:basedOn w:val="DefaultParagraphFont"/>
    <w:link w:val="ListParagraph"/>
    <w:uiPriority w:val="34"/>
    <w:rsid w:val="00CC3DBD"/>
  </w:style>
  <w:style w:type="character" w:customStyle="1" w:styleId="PunctChar">
    <w:name w:val="Punct Char"/>
    <w:basedOn w:val="ListParagraphChar"/>
    <w:link w:val="Punct"/>
    <w:rsid w:val="00CC3DBD"/>
    <w:rPr>
      <w:rFonts w:ascii="Times New Roman" w:hAnsi="Times New Roman" w:cs="Times New Roman"/>
      <w:lang w:val="ro-MD"/>
    </w:rPr>
  </w:style>
  <w:style w:type="paragraph" w:styleId="NormalWeb">
    <w:name w:val="Normal (Web)"/>
    <w:basedOn w:val="Normal"/>
    <w:unhideWhenUsed/>
    <w:rsid w:val="00CC3DB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46FC"/>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46FC"/>
  </w:style>
  <w:style w:type="paragraph" w:styleId="Footer">
    <w:name w:val="footer"/>
    <w:basedOn w:val="Normal"/>
    <w:link w:val="FooterChar"/>
    <w:uiPriority w:val="99"/>
    <w:unhideWhenUsed/>
    <w:rsid w:val="007146FC"/>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46FC"/>
  </w:style>
  <w:style w:type="paragraph" w:styleId="FootnoteText">
    <w:name w:val="footnote text"/>
    <w:basedOn w:val="Normal"/>
    <w:link w:val="FootnoteTextChar"/>
    <w:uiPriority w:val="99"/>
    <w:semiHidden/>
    <w:unhideWhenUsed/>
    <w:rsid w:val="00351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18B"/>
    <w:rPr>
      <w:sz w:val="20"/>
      <w:szCs w:val="20"/>
    </w:rPr>
  </w:style>
  <w:style w:type="paragraph" w:styleId="BalloonText">
    <w:name w:val="Balloon Text"/>
    <w:basedOn w:val="Normal"/>
    <w:link w:val="BalloonTextChar"/>
    <w:uiPriority w:val="99"/>
    <w:semiHidden/>
    <w:unhideWhenUsed/>
    <w:rsid w:val="002E3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05"/>
    <w:rPr>
      <w:rFonts w:ascii="Segoe UI" w:hAnsi="Segoe UI" w:cs="Segoe UI"/>
      <w:sz w:val="18"/>
      <w:szCs w:val="18"/>
    </w:rPr>
  </w:style>
  <w:style w:type="character" w:styleId="CommentReference">
    <w:name w:val="annotation reference"/>
    <w:basedOn w:val="DefaultParagraphFont"/>
    <w:uiPriority w:val="99"/>
    <w:semiHidden/>
    <w:unhideWhenUsed/>
    <w:rsid w:val="0030070A"/>
    <w:rPr>
      <w:sz w:val="16"/>
      <w:szCs w:val="16"/>
    </w:rPr>
  </w:style>
  <w:style w:type="paragraph" w:styleId="CommentText">
    <w:name w:val="annotation text"/>
    <w:basedOn w:val="Normal"/>
    <w:link w:val="CommentTextChar"/>
    <w:uiPriority w:val="99"/>
    <w:semiHidden/>
    <w:unhideWhenUsed/>
    <w:rsid w:val="0030070A"/>
    <w:pPr>
      <w:spacing w:line="240" w:lineRule="auto"/>
    </w:pPr>
    <w:rPr>
      <w:sz w:val="20"/>
      <w:szCs w:val="20"/>
    </w:rPr>
  </w:style>
  <w:style w:type="character" w:customStyle="1" w:styleId="CommentTextChar">
    <w:name w:val="Comment Text Char"/>
    <w:basedOn w:val="DefaultParagraphFont"/>
    <w:link w:val="CommentText"/>
    <w:uiPriority w:val="99"/>
    <w:semiHidden/>
    <w:rsid w:val="0030070A"/>
    <w:rPr>
      <w:sz w:val="20"/>
      <w:szCs w:val="20"/>
    </w:rPr>
  </w:style>
  <w:style w:type="paragraph" w:styleId="CommentSubject">
    <w:name w:val="annotation subject"/>
    <w:basedOn w:val="CommentText"/>
    <w:next w:val="CommentText"/>
    <w:link w:val="CommentSubjectChar"/>
    <w:uiPriority w:val="99"/>
    <w:semiHidden/>
    <w:unhideWhenUsed/>
    <w:rsid w:val="0030070A"/>
    <w:rPr>
      <w:b/>
      <w:bCs/>
    </w:rPr>
  </w:style>
  <w:style w:type="character" w:customStyle="1" w:styleId="CommentSubjectChar">
    <w:name w:val="Comment Subject Char"/>
    <w:basedOn w:val="CommentTextChar"/>
    <w:link w:val="CommentSubject"/>
    <w:uiPriority w:val="99"/>
    <w:semiHidden/>
    <w:rsid w:val="0030070A"/>
    <w:rPr>
      <w:b/>
      <w:bCs/>
      <w:sz w:val="20"/>
      <w:szCs w:val="20"/>
    </w:rPr>
  </w:style>
  <w:style w:type="table" w:styleId="TableGrid">
    <w:name w:val="Table Grid"/>
    <w:basedOn w:val="TableNormal"/>
    <w:uiPriority w:val="39"/>
    <w:rsid w:val="003E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E08CA"/>
    <w:rPr>
      <w:vertAlign w:val="superscript"/>
    </w:rPr>
  </w:style>
  <w:style w:type="paragraph" w:styleId="Revision">
    <w:name w:val="Revision"/>
    <w:hidden/>
    <w:uiPriority w:val="99"/>
    <w:semiHidden/>
    <w:rsid w:val="00BE4852"/>
    <w:pPr>
      <w:spacing w:after="0" w:line="240" w:lineRule="auto"/>
    </w:pPr>
  </w:style>
  <w:style w:type="paragraph" w:styleId="NoSpacing">
    <w:name w:val="No Spacing"/>
    <w:uiPriority w:val="1"/>
    <w:qFormat/>
    <w:rsid w:val="005C6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01121">
      <w:bodyDiv w:val="1"/>
      <w:marLeft w:val="0"/>
      <w:marRight w:val="0"/>
      <w:marTop w:val="0"/>
      <w:marBottom w:val="0"/>
      <w:divBdr>
        <w:top w:val="none" w:sz="0" w:space="0" w:color="auto"/>
        <w:left w:val="none" w:sz="0" w:space="0" w:color="auto"/>
        <w:bottom w:val="none" w:sz="0" w:space="0" w:color="auto"/>
        <w:right w:val="none" w:sz="0" w:space="0" w:color="auto"/>
      </w:divBdr>
    </w:div>
    <w:div w:id="605507576">
      <w:bodyDiv w:val="1"/>
      <w:marLeft w:val="0"/>
      <w:marRight w:val="0"/>
      <w:marTop w:val="0"/>
      <w:marBottom w:val="0"/>
      <w:divBdr>
        <w:top w:val="none" w:sz="0" w:space="0" w:color="auto"/>
        <w:left w:val="none" w:sz="0" w:space="0" w:color="auto"/>
        <w:bottom w:val="none" w:sz="0" w:space="0" w:color="auto"/>
        <w:right w:val="none" w:sz="0" w:space="0" w:color="auto"/>
      </w:divBdr>
    </w:div>
    <w:div w:id="1053699870">
      <w:bodyDiv w:val="1"/>
      <w:marLeft w:val="0"/>
      <w:marRight w:val="0"/>
      <w:marTop w:val="0"/>
      <w:marBottom w:val="0"/>
      <w:divBdr>
        <w:top w:val="none" w:sz="0" w:space="0" w:color="auto"/>
        <w:left w:val="none" w:sz="0" w:space="0" w:color="auto"/>
        <w:bottom w:val="none" w:sz="0" w:space="0" w:color="auto"/>
        <w:right w:val="none" w:sz="0" w:space="0" w:color="auto"/>
      </w:divBdr>
    </w:div>
    <w:div w:id="10859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8fcedcfc-4df9-43cb-b200-eeb322026abf</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53D1-CA35-41EF-81EA-F50067383417}">
  <ds:schemaRefs>
    <ds:schemaRef ds:uri="http://schemas.titus.com/TitusProperties/"/>
    <ds:schemaRef ds:uri=""/>
  </ds:schemaRefs>
</ds:datastoreItem>
</file>

<file path=customXml/itemProps2.xml><?xml version="1.0" encoding="utf-8"?>
<ds:datastoreItem xmlns:ds="http://schemas.openxmlformats.org/officeDocument/2006/customXml" ds:itemID="{9767A151-CAE6-4E30-824E-DE9743CD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2023-06-16T11:39:00Z</cp:lastPrinted>
  <dcterms:created xsi:type="dcterms:W3CDTF">2023-06-29T06:40:00Z</dcterms:created>
  <dcterms:modified xsi:type="dcterms:W3CDTF">2023-06-29T06:40:00Z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8fcedcfc-4df9-43cb-b200-eeb322026abf</vt:lpwstr>
  </property>
  <property fmtid="{D5CDD505-2E9C-101B-9397-08002B2CF9AE}" pid="3" name="Clasificare">
    <vt:lpwstr>NONE</vt:lpwstr>
  </property>
</Properties>
</file>